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C4B" w:rsidRDefault="00642C4B" w:rsidP="00642C4B">
      <w:pPr>
        <w:rPr>
          <w:rFonts w:ascii="Times New Roman" w:hAnsi="Times New Roman"/>
          <w:b/>
          <w:sz w:val="24"/>
          <w:szCs w:val="24"/>
        </w:rPr>
      </w:pPr>
      <w:bookmarkStart w:id="0" w:name="_GoBack"/>
      <w:bookmarkEnd w:id="0"/>
    </w:p>
    <w:p w:rsidR="00642C4B" w:rsidRDefault="00642C4B" w:rsidP="00642C4B">
      <w:pPr>
        <w:spacing w:after="0" w:line="240" w:lineRule="auto"/>
        <w:rPr>
          <w:rFonts w:ascii="Times New Roman" w:hAnsi="Times New Roman"/>
          <w:b/>
          <w:sz w:val="24"/>
          <w:szCs w:val="24"/>
        </w:rPr>
      </w:pPr>
      <w:r>
        <w:rPr>
          <w:rFonts w:ascii="Times New Roman" w:hAnsi="Times New Roman"/>
          <w:b/>
          <w:sz w:val="24"/>
          <w:szCs w:val="24"/>
        </w:rPr>
        <w:t>May 27, 2016</w:t>
      </w:r>
    </w:p>
    <w:p w:rsidR="00642C4B" w:rsidRDefault="00642C4B" w:rsidP="00642C4B">
      <w:pPr>
        <w:spacing w:after="0" w:line="240" w:lineRule="auto"/>
        <w:rPr>
          <w:rFonts w:ascii="Times New Roman" w:hAnsi="Times New Roman"/>
          <w:b/>
          <w:sz w:val="24"/>
          <w:szCs w:val="24"/>
        </w:rPr>
      </w:pPr>
      <w:r w:rsidRPr="00A416BF">
        <w:rPr>
          <w:rFonts w:ascii="Times New Roman" w:hAnsi="Times New Roman"/>
          <w:b/>
          <w:sz w:val="24"/>
          <w:szCs w:val="24"/>
        </w:rPr>
        <w:t>House WRDA 2016 Markup</w:t>
      </w:r>
    </w:p>
    <w:p w:rsidR="00642C4B" w:rsidRDefault="00642C4B" w:rsidP="00642C4B">
      <w:pPr>
        <w:spacing w:after="0" w:line="240" w:lineRule="auto"/>
        <w:rPr>
          <w:rFonts w:ascii="Times New Roman" w:hAnsi="Times New Roman"/>
          <w:b/>
          <w:sz w:val="24"/>
          <w:szCs w:val="24"/>
        </w:rPr>
      </w:pPr>
      <w:r>
        <w:rPr>
          <w:rFonts w:ascii="Times New Roman" w:hAnsi="Times New Roman"/>
          <w:b/>
          <w:sz w:val="24"/>
          <w:szCs w:val="24"/>
        </w:rPr>
        <w:t>By Valentina J. Valenta</w:t>
      </w:r>
    </w:p>
    <w:p w:rsidR="00642C4B" w:rsidRPr="00A416BF" w:rsidRDefault="00642C4B" w:rsidP="00642C4B">
      <w:pPr>
        <w:spacing w:after="0" w:line="240" w:lineRule="auto"/>
        <w:rPr>
          <w:rFonts w:ascii="Times New Roman" w:hAnsi="Times New Roman"/>
          <w:b/>
          <w:sz w:val="24"/>
          <w:szCs w:val="24"/>
        </w:rPr>
      </w:pPr>
    </w:p>
    <w:p w:rsidR="00642C4B" w:rsidRDefault="00642C4B" w:rsidP="00642C4B">
      <w:pPr>
        <w:spacing w:after="0" w:line="240" w:lineRule="auto"/>
        <w:rPr>
          <w:rFonts w:ascii="Times New Roman" w:hAnsi="Times New Roman"/>
          <w:sz w:val="24"/>
          <w:szCs w:val="24"/>
        </w:rPr>
      </w:pPr>
      <w:r w:rsidRPr="00A416BF">
        <w:rPr>
          <w:rFonts w:ascii="Times New Roman" w:hAnsi="Times New Roman"/>
          <w:sz w:val="24"/>
          <w:szCs w:val="24"/>
        </w:rPr>
        <w:t xml:space="preserve">On Wednesday May 25, 21016, </w:t>
      </w:r>
      <w:r>
        <w:rPr>
          <w:rFonts w:ascii="Times New Roman" w:hAnsi="Times New Roman"/>
          <w:sz w:val="24"/>
          <w:szCs w:val="24"/>
        </w:rPr>
        <w:t>the House Committee on Transportation and</w:t>
      </w:r>
      <w:r w:rsidRPr="00A416BF">
        <w:rPr>
          <w:rFonts w:ascii="Times New Roman" w:hAnsi="Times New Roman"/>
          <w:sz w:val="24"/>
          <w:szCs w:val="24"/>
        </w:rPr>
        <w:t xml:space="preserve"> Infrastructure marked up and reported the bill HR </w:t>
      </w:r>
      <w:r>
        <w:rPr>
          <w:rFonts w:ascii="Times New Roman" w:hAnsi="Times New Roman"/>
          <w:sz w:val="24"/>
          <w:szCs w:val="24"/>
        </w:rPr>
        <w:t>5303</w:t>
      </w:r>
      <w:r w:rsidRPr="00A416BF">
        <w:rPr>
          <w:rFonts w:ascii="Times New Roman" w:hAnsi="Times New Roman"/>
          <w:sz w:val="24"/>
          <w:szCs w:val="24"/>
        </w:rPr>
        <w:t xml:space="preserve">, the </w:t>
      </w:r>
      <w:r>
        <w:rPr>
          <w:rFonts w:ascii="Times New Roman" w:hAnsi="Times New Roman"/>
          <w:sz w:val="24"/>
          <w:szCs w:val="24"/>
        </w:rPr>
        <w:t>“</w:t>
      </w:r>
      <w:r w:rsidRPr="00A416BF">
        <w:rPr>
          <w:rFonts w:ascii="Times New Roman" w:hAnsi="Times New Roman"/>
          <w:sz w:val="24"/>
          <w:szCs w:val="24"/>
        </w:rPr>
        <w:t>Water Resources Development of 2016.</w:t>
      </w:r>
      <w:r>
        <w:rPr>
          <w:rFonts w:ascii="Times New Roman" w:hAnsi="Times New Roman"/>
          <w:sz w:val="24"/>
          <w:szCs w:val="24"/>
        </w:rPr>
        <w:t xml:space="preserve">” Of the 42 amendments filed in the House, only 8 were adopted by the Committee, including the manager’s </w:t>
      </w:r>
      <w:r w:rsidRPr="00ED43B0">
        <w:rPr>
          <w:rFonts w:ascii="Times New Roman" w:hAnsi="Times New Roman"/>
          <w:sz w:val="24"/>
          <w:szCs w:val="24"/>
        </w:rPr>
        <w:t>amendment.</w:t>
      </w:r>
    </w:p>
    <w:p w:rsidR="00642C4B" w:rsidRPr="00A416BF" w:rsidRDefault="00642C4B" w:rsidP="00642C4B">
      <w:pPr>
        <w:spacing w:after="0" w:line="240" w:lineRule="auto"/>
        <w:rPr>
          <w:rFonts w:ascii="Times New Roman" w:hAnsi="Times New Roman"/>
          <w:sz w:val="24"/>
          <w:szCs w:val="24"/>
        </w:rPr>
      </w:pPr>
      <w:r w:rsidRPr="00A416BF">
        <w:rPr>
          <w:rFonts w:ascii="Times New Roman" w:hAnsi="Times New Roman"/>
          <w:sz w:val="24"/>
          <w:szCs w:val="24"/>
        </w:rPr>
        <w:t xml:space="preserve"> </w:t>
      </w:r>
    </w:p>
    <w:p w:rsidR="00642C4B" w:rsidRPr="00A416BF" w:rsidRDefault="00642C4B" w:rsidP="00642C4B">
      <w:pPr>
        <w:rPr>
          <w:rFonts w:ascii="Times New Roman" w:hAnsi="Times New Roman"/>
          <w:b/>
          <w:sz w:val="24"/>
          <w:szCs w:val="24"/>
        </w:rPr>
      </w:pPr>
      <w:r w:rsidRPr="00A416BF">
        <w:rPr>
          <w:rFonts w:ascii="Times New Roman" w:hAnsi="Times New Roman"/>
          <w:b/>
          <w:sz w:val="24"/>
          <w:szCs w:val="24"/>
        </w:rPr>
        <w:t>Amendments Adopted</w:t>
      </w:r>
    </w:p>
    <w:p w:rsidR="00642C4B" w:rsidRPr="00A416BF" w:rsidRDefault="00642C4B" w:rsidP="00642C4B">
      <w:pPr>
        <w:rPr>
          <w:rFonts w:ascii="Times New Roman" w:hAnsi="Times New Roman"/>
          <w:sz w:val="24"/>
          <w:szCs w:val="24"/>
        </w:rPr>
      </w:pPr>
      <w:r w:rsidRPr="00A416BF">
        <w:rPr>
          <w:rFonts w:ascii="Times New Roman" w:hAnsi="Times New Roman"/>
          <w:sz w:val="24"/>
          <w:szCs w:val="24"/>
        </w:rPr>
        <w:t>The following amendments are relevant to water management and water supply interests were adopted:</w:t>
      </w:r>
    </w:p>
    <w:p w:rsidR="00642C4B" w:rsidRPr="00A416BF" w:rsidRDefault="00642C4B" w:rsidP="00642C4B">
      <w:pPr>
        <w:rPr>
          <w:rFonts w:ascii="Times New Roman" w:hAnsi="Times New Roman"/>
          <w:sz w:val="24"/>
          <w:szCs w:val="24"/>
        </w:rPr>
      </w:pPr>
      <w:r w:rsidRPr="00A416BF">
        <w:rPr>
          <w:rFonts w:ascii="Times New Roman" w:hAnsi="Times New Roman"/>
          <w:b/>
          <w:sz w:val="24"/>
          <w:szCs w:val="24"/>
        </w:rPr>
        <w:t>Huffman 161</w:t>
      </w:r>
      <w:r w:rsidRPr="00A416BF">
        <w:rPr>
          <w:rFonts w:ascii="Times New Roman" w:hAnsi="Times New Roman"/>
          <w:sz w:val="24"/>
          <w:szCs w:val="24"/>
        </w:rPr>
        <w:t xml:space="preserve"> – The amendment would authorize the Secretary to operate a fish hatchery for the purpose of restoring a population of fish species located in the region surrounding the fish hatchery that is listed as a threatened species or an endangered species und</w:t>
      </w:r>
      <w:r>
        <w:rPr>
          <w:rFonts w:ascii="Times New Roman" w:hAnsi="Times New Roman"/>
          <w:sz w:val="24"/>
          <w:szCs w:val="24"/>
        </w:rPr>
        <w:t xml:space="preserve">er the Endangered Species Act. </w:t>
      </w:r>
      <w:r w:rsidRPr="00A416BF">
        <w:rPr>
          <w:rFonts w:ascii="Times New Roman" w:hAnsi="Times New Roman"/>
          <w:sz w:val="24"/>
          <w:szCs w:val="24"/>
        </w:rPr>
        <w:t>The costs of managing the hatch</w:t>
      </w:r>
      <w:r>
        <w:rPr>
          <w:rFonts w:ascii="Times New Roman" w:hAnsi="Times New Roman"/>
          <w:sz w:val="24"/>
          <w:szCs w:val="24"/>
        </w:rPr>
        <w:t>ery would be borne by “the non-federal entity, a f</w:t>
      </w:r>
      <w:r w:rsidRPr="00A416BF">
        <w:rPr>
          <w:rFonts w:ascii="Times New Roman" w:hAnsi="Times New Roman"/>
          <w:sz w:val="24"/>
          <w:szCs w:val="24"/>
        </w:rPr>
        <w:t xml:space="preserve">ederal agency other than the Department </w:t>
      </w:r>
      <w:r>
        <w:rPr>
          <w:rFonts w:ascii="Times New Roman" w:hAnsi="Times New Roman"/>
          <w:sz w:val="24"/>
          <w:szCs w:val="24"/>
        </w:rPr>
        <w:t>of Defense, or a group of non-federal entities or such f</w:t>
      </w:r>
      <w:r w:rsidRPr="00A416BF">
        <w:rPr>
          <w:rFonts w:ascii="Times New Roman" w:hAnsi="Times New Roman"/>
          <w:sz w:val="24"/>
          <w:szCs w:val="24"/>
        </w:rPr>
        <w:t>ederal agencies.”</w:t>
      </w:r>
    </w:p>
    <w:p w:rsidR="00642C4B" w:rsidRPr="00A416BF" w:rsidRDefault="00642C4B" w:rsidP="00642C4B">
      <w:pPr>
        <w:rPr>
          <w:rFonts w:ascii="Times New Roman" w:hAnsi="Times New Roman"/>
          <w:sz w:val="24"/>
          <w:szCs w:val="24"/>
        </w:rPr>
      </w:pPr>
      <w:r w:rsidRPr="00A416BF">
        <w:rPr>
          <w:rFonts w:ascii="Times New Roman" w:hAnsi="Times New Roman"/>
          <w:b/>
          <w:sz w:val="24"/>
          <w:szCs w:val="24"/>
        </w:rPr>
        <w:t>Shuster 75</w:t>
      </w:r>
      <w:r w:rsidRPr="00A416BF">
        <w:rPr>
          <w:rFonts w:ascii="Times New Roman" w:hAnsi="Times New Roman"/>
          <w:sz w:val="24"/>
          <w:szCs w:val="24"/>
        </w:rPr>
        <w:t xml:space="preserve"> – </w:t>
      </w:r>
      <w:r w:rsidRPr="00A416BF">
        <w:rPr>
          <w:rFonts w:ascii="Times New Roman" w:hAnsi="Times New Roman"/>
          <w:b/>
          <w:sz w:val="24"/>
          <w:szCs w:val="24"/>
          <w:u w:val="single"/>
        </w:rPr>
        <w:t>Manager’s amendment</w:t>
      </w:r>
      <w:r>
        <w:rPr>
          <w:rFonts w:ascii="Times New Roman" w:hAnsi="Times New Roman"/>
          <w:sz w:val="24"/>
          <w:szCs w:val="24"/>
        </w:rPr>
        <w:t xml:space="preserve">. </w:t>
      </w:r>
      <w:r w:rsidRPr="00A416BF">
        <w:rPr>
          <w:rFonts w:ascii="Times New Roman" w:hAnsi="Times New Roman"/>
          <w:sz w:val="24"/>
          <w:szCs w:val="24"/>
        </w:rPr>
        <w:t>Within the adopted Chairman’s amendment the following are relevant to water management and water supply interests:</w:t>
      </w:r>
    </w:p>
    <w:p w:rsidR="00642C4B" w:rsidRPr="00A416BF" w:rsidRDefault="00642C4B" w:rsidP="00642C4B">
      <w:pPr>
        <w:pStyle w:val="ListParagraph"/>
        <w:numPr>
          <w:ilvl w:val="0"/>
          <w:numId w:val="3"/>
        </w:numPr>
        <w:rPr>
          <w:rFonts w:ascii="Times New Roman" w:hAnsi="Times New Roman"/>
          <w:sz w:val="24"/>
          <w:szCs w:val="24"/>
        </w:rPr>
      </w:pPr>
      <w:r w:rsidRPr="00A416BF">
        <w:rPr>
          <w:rFonts w:ascii="Times New Roman" w:hAnsi="Times New Roman"/>
          <w:b/>
          <w:sz w:val="24"/>
          <w:szCs w:val="24"/>
        </w:rPr>
        <w:t>Denham</w:t>
      </w:r>
      <w:r w:rsidRPr="00A416BF">
        <w:rPr>
          <w:rFonts w:ascii="Times New Roman" w:hAnsi="Times New Roman"/>
          <w:sz w:val="24"/>
          <w:szCs w:val="24"/>
        </w:rPr>
        <w:t xml:space="preserve"> – Provision would direct the Secretary to submit to Congress an annual report on the amount of acquisitions made by the Corps of Engineers for civil works projects from entities that manufactured the articles, materials, or supplies outside of the United States.</w:t>
      </w:r>
    </w:p>
    <w:p w:rsidR="00642C4B" w:rsidRPr="00A416BF" w:rsidRDefault="00642C4B" w:rsidP="00642C4B">
      <w:pPr>
        <w:pStyle w:val="ListParagraph"/>
        <w:numPr>
          <w:ilvl w:val="0"/>
          <w:numId w:val="3"/>
        </w:numPr>
        <w:rPr>
          <w:rFonts w:ascii="Times New Roman" w:hAnsi="Times New Roman"/>
          <w:sz w:val="24"/>
          <w:szCs w:val="24"/>
        </w:rPr>
      </w:pPr>
      <w:r w:rsidRPr="00A416BF">
        <w:rPr>
          <w:rFonts w:ascii="Times New Roman" w:hAnsi="Times New Roman"/>
          <w:b/>
          <w:sz w:val="24"/>
          <w:szCs w:val="24"/>
        </w:rPr>
        <w:t>Lipinski/Duncan</w:t>
      </w:r>
      <w:r w:rsidRPr="00A416BF">
        <w:rPr>
          <w:rFonts w:ascii="Times New Roman" w:hAnsi="Times New Roman"/>
          <w:sz w:val="24"/>
          <w:szCs w:val="24"/>
        </w:rPr>
        <w:t xml:space="preserve"> – Provision would direct that in carrying out a feasibility study for a water resources development project, the Secretary shall coordinate with communities in the watershed covered by such a study to determine if a local or regional water management plan exists or is under development for the purposes of </w:t>
      </w:r>
      <w:proofErr w:type="spellStart"/>
      <w:r w:rsidRPr="00A416BF">
        <w:rPr>
          <w:rFonts w:ascii="Times New Roman" w:hAnsi="Times New Roman"/>
          <w:sz w:val="24"/>
          <w:szCs w:val="24"/>
        </w:rPr>
        <w:t>stormwater</w:t>
      </w:r>
      <w:proofErr w:type="spellEnd"/>
      <w:r w:rsidRPr="00A416BF">
        <w:rPr>
          <w:rFonts w:ascii="Times New Roman" w:hAnsi="Times New Roman"/>
          <w:sz w:val="24"/>
          <w:szCs w:val="24"/>
        </w:rPr>
        <w:t xml:space="preserve"> management, water quality improvement, aquifer recharge, or water reuse. If such a local or regional water management plan exists for the watershed, the Secretary would be require</w:t>
      </w:r>
      <w:r>
        <w:rPr>
          <w:rFonts w:ascii="Times New Roman" w:hAnsi="Times New Roman"/>
          <w:sz w:val="24"/>
          <w:szCs w:val="24"/>
        </w:rPr>
        <w:t>d, in cooperation with the non-f</w:t>
      </w:r>
      <w:r w:rsidRPr="00A416BF">
        <w:rPr>
          <w:rFonts w:ascii="Times New Roman" w:hAnsi="Times New Roman"/>
          <w:sz w:val="24"/>
          <w:szCs w:val="24"/>
        </w:rPr>
        <w:t xml:space="preserve">ederal sponsor for such plan and affected local </w:t>
      </w:r>
      <w:r w:rsidRPr="00A416BF">
        <w:rPr>
          <w:rFonts w:ascii="Times New Roman" w:hAnsi="Times New Roman"/>
          <w:sz w:val="24"/>
          <w:szCs w:val="24"/>
        </w:rPr>
        <w:lastRenderedPageBreak/>
        <w:t>public entities, to avoid adversely affecting the purposes of the local water management plan and, where feasible, incorporate the purposes of the local plan into the Secretary’s feasibility study.</w:t>
      </w:r>
    </w:p>
    <w:p w:rsidR="00642C4B" w:rsidRPr="00A416BF" w:rsidRDefault="00642C4B" w:rsidP="00642C4B">
      <w:pPr>
        <w:rPr>
          <w:rFonts w:ascii="Times New Roman" w:hAnsi="Times New Roman"/>
          <w:sz w:val="24"/>
          <w:szCs w:val="24"/>
        </w:rPr>
      </w:pPr>
      <w:r w:rsidRPr="00A416BF">
        <w:rPr>
          <w:rFonts w:ascii="Times New Roman" w:hAnsi="Times New Roman"/>
          <w:b/>
          <w:sz w:val="24"/>
          <w:szCs w:val="24"/>
        </w:rPr>
        <w:t xml:space="preserve">Amendments Submitted but </w:t>
      </w:r>
      <w:r w:rsidRPr="00A416BF">
        <w:rPr>
          <w:rFonts w:ascii="Times New Roman" w:hAnsi="Times New Roman"/>
          <w:b/>
          <w:sz w:val="24"/>
          <w:szCs w:val="24"/>
          <w:u w:val="single"/>
        </w:rPr>
        <w:t>Not</w:t>
      </w:r>
      <w:r w:rsidRPr="00A416BF">
        <w:rPr>
          <w:rFonts w:ascii="Times New Roman" w:hAnsi="Times New Roman"/>
          <w:b/>
          <w:sz w:val="24"/>
          <w:szCs w:val="24"/>
        </w:rPr>
        <w:t xml:space="preserve"> Adopted</w:t>
      </w:r>
      <w:r w:rsidRPr="00A416BF">
        <w:rPr>
          <w:rFonts w:ascii="Times New Roman" w:hAnsi="Times New Roman"/>
          <w:sz w:val="24"/>
          <w:szCs w:val="24"/>
        </w:rPr>
        <w:t>:</w:t>
      </w:r>
    </w:p>
    <w:p w:rsidR="00642C4B" w:rsidRPr="00A416BF" w:rsidRDefault="00642C4B" w:rsidP="00642C4B">
      <w:pPr>
        <w:rPr>
          <w:rFonts w:ascii="Times New Roman" w:hAnsi="Times New Roman"/>
          <w:sz w:val="24"/>
          <w:szCs w:val="24"/>
        </w:rPr>
      </w:pPr>
      <w:r w:rsidRPr="00A416BF">
        <w:rPr>
          <w:rFonts w:ascii="Times New Roman" w:hAnsi="Times New Roman"/>
          <w:sz w:val="24"/>
          <w:szCs w:val="24"/>
        </w:rPr>
        <w:t>The following amendments are relevant to water management</w:t>
      </w:r>
      <w:r>
        <w:rPr>
          <w:rFonts w:ascii="Times New Roman" w:hAnsi="Times New Roman"/>
          <w:sz w:val="24"/>
          <w:szCs w:val="24"/>
        </w:rPr>
        <w:t xml:space="preserve"> </w:t>
      </w:r>
      <w:r w:rsidRPr="00A416BF">
        <w:rPr>
          <w:rFonts w:ascii="Times New Roman" w:hAnsi="Times New Roman"/>
          <w:sz w:val="24"/>
          <w:szCs w:val="24"/>
        </w:rPr>
        <w:t xml:space="preserve">and water supply interests were submitted to the Committee but were </w:t>
      </w:r>
      <w:r w:rsidRPr="00A416BF">
        <w:rPr>
          <w:rFonts w:ascii="Times New Roman" w:hAnsi="Times New Roman"/>
          <w:b/>
          <w:sz w:val="24"/>
          <w:szCs w:val="24"/>
          <w:u w:val="single"/>
        </w:rPr>
        <w:t>not</w:t>
      </w:r>
      <w:r w:rsidRPr="00A416BF">
        <w:rPr>
          <w:rFonts w:ascii="Times New Roman" w:hAnsi="Times New Roman"/>
          <w:sz w:val="24"/>
          <w:szCs w:val="24"/>
        </w:rPr>
        <w:t xml:space="preserve"> adopted:</w:t>
      </w:r>
    </w:p>
    <w:p w:rsidR="00642C4B" w:rsidRPr="00A416BF" w:rsidRDefault="00642C4B" w:rsidP="00642C4B">
      <w:pPr>
        <w:rPr>
          <w:rFonts w:ascii="Times New Roman" w:hAnsi="Times New Roman"/>
          <w:sz w:val="24"/>
          <w:szCs w:val="24"/>
        </w:rPr>
      </w:pPr>
      <w:r w:rsidRPr="00A416BF">
        <w:rPr>
          <w:rFonts w:ascii="Times New Roman" w:hAnsi="Times New Roman"/>
          <w:b/>
          <w:sz w:val="24"/>
          <w:szCs w:val="24"/>
        </w:rPr>
        <w:t>Brown 018</w:t>
      </w:r>
      <w:r w:rsidRPr="00A416BF">
        <w:rPr>
          <w:rFonts w:ascii="Times New Roman" w:hAnsi="Times New Roman"/>
          <w:sz w:val="24"/>
          <w:szCs w:val="24"/>
        </w:rPr>
        <w:t xml:space="preserve"> – Amendment would strike Section 113 of the underlying bill</w:t>
      </w:r>
      <w:r>
        <w:rPr>
          <w:rFonts w:ascii="Times New Roman" w:hAnsi="Times New Roman"/>
          <w:sz w:val="24"/>
          <w:szCs w:val="24"/>
        </w:rPr>
        <w:t>,</w:t>
      </w:r>
      <w:r w:rsidRPr="00A416BF">
        <w:rPr>
          <w:rFonts w:ascii="Times New Roman" w:hAnsi="Times New Roman"/>
          <w:sz w:val="24"/>
          <w:szCs w:val="24"/>
        </w:rPr>
        <w:t xml:space="preserve"> which would repeal the Tri-State Water Wars language included in WRRDA 2014.</w:t>
      </w:r>
      <w:r>
        <w:rPr>
          <w:rFonts w:ascii="Times New Roman" w:hAnsi="Times New Roman"/>
          <w:sz w:val="24"/>
          <w:szCs w:val="24"/>
        </w:rPr>
        <w:t xml:space="preserve"> The amendment was withdrawn, though Ms. Brown indicated that she would work with the Committee to have it considered during conference. It is certain that Senators Shelby and Sessions would support this </w:t>
      </w:r>
      <w:proofErr w:type="spellStart"/>
      <w:r>
        <w:rPr>
          <w:rFonts w:ascii="Times New Roman" w:hAnsi="Times New Roman"/>
          <w:sz w:val="24"/>
          <w:szCs w:val="24"/>
        </w:rPr>
        <w:t>amd’t</w:t>
      </w:r>
      <w:proofErr w:type="spellEnd"/>
      <w:r>
        <w:rPr>
          <w:rFonts w:ascii="Times New Roman" w:hAnsi="Times New Roman"/>
          <w:sz w:val="24"/>
          <w:szCs w:val="24"/>
        </w:rPr>
        <w:t>.</w:t>
      </w:r>
    </w:p>
    <w:p w:rsidR="00642C4B" w:rsidRPr="00A416BF" w:rsidRDefault="00642C4B" w:rsidP="00642C4B">
      <w:pPr>
        <w:rPr>
          <w:rFonts w:ascii="Times New Roman" w:hAnsi="Times New Roman"/>
          <w:sz w:val="24"/>
          <w:szCs w:val="24"/>
        </w:rPr>
      </w:pPr>
      <w:r w:rsidRPr="00A416BF">
        <w:rPr>
          <w:rFonts w:ascii="Times New Roman" w:hAnsi="Times New Roman"/>
          <w:b/>
          <w:sz w:val="24"/>
          <w:szCs w:val="24"/>
        </w:rPr>
        <w:t>Edwards 55</w:t>
      </w:r>
      <w:r w:rsidRPr="00A416BF">
        <w:rPr>
          <w:rFonts w:ascii="Times New Roman" w:hAnsi="Times New Roman"/>
          <w:sz w:val="24"/>
          <w:szCs w:val="24"/>
        </w:rPr>
        <w:t xml:space="preserve"> – This amendment represents the minority attempt to address EPA programs.  The amendment would have added substantive policy and program amendments to the Federal Water Pollution Control Act including new appropriations ceilings for the SRF as follows:</w:t>
      </w:r>
    </w:p>
    <w:p w:rsidR="00642C4B" w:rsidRPr="00A416BF" w:rsidRDefault="00642C4B" w:rsidP="00642C4B">
      <w:pPr>
        <w:pStyle w:val="ListParagraph"/>
        <w:numPr>
          <w:ilvl w:val="0"/>
          <w:numId w:val="2"/>
        </w:numPr>
        <w:rPr>
          <w:rFonts w:ascii="Times New Roman" w:hAnsi="Times New Roman"/>
          <w:sz w:val="24"/>
          <w:szCs w:val="24"/>
        </w:rPr>
      </w:pPr>
      <w:r w:rsidRPr="00A416BF">
        <w:rPr>
          <w:rFonts w:ascii="Times New Roman" w:hAnsi="Times New Roman"/>
          <w:sz w:val="24"/>
          <w:szCs w:val="24"/>
        </w:rPr>
        <w:t>$2,000,000,000 for fiscal year 2017.</w:t>
      </w:r>
    </w:p>
    <w:p w:rsidR="00642C4B" w:rsidRPr="00A416BF" w:rsidRDefault="00642C4B" w:rsidP="00642C4B">
      <w:pPr>
        <w:pStyle w:val="ListParagraph"/>
        <w:numPr>
          <w:ilvl w:val="0"/>
          <w:numId w:val="2"/>
        </w:numPr>
        <w:rPr>
          <w:rFonts w:ascii="Times New Roman" w:hAnsi="Times New Roman"/>
          <w:sz w:val="24"/>
          <w:szCs w:val="24"/>
        </w:rPr>
      </w:pPr>
      <w:r w:rsidRPr="00A416BF">
        <w:rPr>
          <w:rFonts w:ascii="Times New Roman" w:hAnsi="Times New Roman"/>
          <w:sz w:val="24"/>
          <w:szCs w:val="24"/>
        </w:rPr>
        <w:t>$3,000,000,000 for fiscal year 2018.</w:t>
      </w:r>
    </w:p>
    <w:p w:rsidR="00642C4B" w:rsidRPr="00A416BF" w:rsidRDefault="00642C4B" w:rsidP="00642C4B">
      <w:pPr>
        <w:pStyle w:val="ListParagraph"/>
        <w:numPr>
          <w:ilvl w:val="0"/>
          <w:numId w:val="2"/>
        </w:numPr>
        <w:rPr>
          <w:rFonts w:ascii="Times New Roman" w:hAnsi="Times New Roman"/>
          <w:sz w:val="24"/>
          <w:szCs w:val="24"/>
        </w:rPr>
      </w:pPr>
      <w:r w:rsidRPr="00A416BF">
        <w:rPr>
          <w:rFonts w:ascii="Times New Roman" w:hAnsi="Times New Roman"/>
          <w:sz w:val="24"/>
          <w:szCs w:val="24"/>
        </w:rPr>
        <w:t>$4,000,000,000 for fiscal year 2019.</w:t>
      </w:r>
    </w:p>
    <w:p w:rsidR="00642C4B" w:rsidRPr="00A416BF" w:rsidRDefault="00642C4B" w:rsidP="00642C4B">
      <w:pPr>
        <w:pStyle w:val="ListParagraph"/>
        <w:numPr>
          <w:ilvl w:val="0"/>
          <w:numId w:val="2"/>
        </w:numPr>
        <w:rPr>
          <w:rFonts w:ascii="Times New Roman" w:hAnsi="Times New Roman"/>
          <w:sz w:val="24"/>
          <w:szCs w:val="24"/>
        </w:rPr>
      </w:pPr>
      <w:r w:rsidRPr="00A416BF">
        <w:rPr>
          <w:rFonts w:ascii="Times New Roman" w:hAnsi="Times New Roman"/>
          <w:sz w:val="24"/>
          <w:szCs w:val="24"/>
        </w:rPr>
        <w:t>$5,000,000,000 for fiscal year 2020.</w:t>
      </w:r>
    </w:p>
    <w:p w:rsidR="00642C4B" w:rsidRPr="00A416BF" w:rsidRDefault="00642C4B" w:rsidP="00642C4B">
      <w:pPr>
        <w:pStyle w:val="ListParagraph"/>
        <w:numPr>
          <w:ilvl w:val="0"/>
          <w:numId w:val="2"/>
        </w:numPr>
        <w:rPr>
          <w:rFonts w:ascii="Times New Roman" w:hAnsi="Times New Roman"/>
          <w:sz w:val="24"/>
          <w:szCs w:val="24"/>
        </w:rPr>
      </w:pPr>
      <w:r w:rsidRPr="00A416BF">
        <w:rPr>
          <w:rFonts w:ascii="Times New Roman" w:hAnsi="Times New Roman"/>
          <w:sz w:val="24"/>
          <w:szCs w:val="24"/>
        </w:rPr>
        <w:t>$6,000,000,000 for fiscal year 2021.</w:t>
      </w:r>
    </w:p>
    <w:p w:rsidR="00642C4B" w:rsidRPr="00A416BF" w:rsidRDefault="00642C4B" w:rsidP="00642C4B">
      <w:pPr>
        <w:rPr>
          <w:rFonts w:ascii="Times New Roman" w:hAnsi="Times New Roman"/>
          <w:sz w:val="24"/>
          <w:szCs w:val="24"/>
        </w:rPr>
      </w:pPr>
      <w:proofErr w:type="spellStart"/>
      <w:r w:rsidRPr="00A416BF">
        <w:rPr>
          <w:rFonts w:ascii="Times New Roman" w:hAnsi="Times New Roman"/>
          <w:b/>
          <w:sz w:val="24"/>
          <w:szCs w:val="24"/>
        </w:rPr>
        <w:t>Esty</w:t>
      </w:r>
      <w:proofErr w:type="spellEnd"/>
      <w:r w:rsidRPr="00A416BF">
        <w:rPr>
          <w:rFonts w:ascii="Times New Roman" w:hAnsi="Times New Roman"/>
          <w:b/>
          <w:sz w:val="24"/>
          <w:szCs w:val="24"/>
        </w:rPr>
        <w:t xml:space="preserve"> 93</w:t>
      </w:r>
      <w:r w:rsidRPr="00A416BF">
        <w:rPr>
          <w:rFonts w:ascii="Times New Roman" w:hAnsi="Times New Roman"/>
          <w:sz w:val="24"/>
          <w:szCs w:val="24"/>
        </w:rPr>
        <w:t xml:space="preserve"> – The amendment would have increased the Corps small hurricane and storm damage per-project federal cost limit from $5 million to $10 million.</w:t>
      </w:r>
    </w:p>
    <w:p w:rsidR="00642C4B" w:rsidRPr="00A416BF" w:rsidRDefault="00642C4B" w:rsidP="00642C4B">
      <w:pPr>
        <w:rPr>
          <w:rFonts w:ascii="Times New Roman" w:hAnsi="Times New Roman"/>
          <w:sz w:val="24"/>
          <w:szCs w:val="24"/>
        </w:rPr>
      </w:pPr>
      <w:r w:rsidRPr="00A416BF">
        <w:rPr>
          <w:rFonts w:ascii="Times New Roman" w:hAnsi="Times New Roman"/>
          <w:b/>
          <w:sz w:val="24"/>
          <w:szCs w:val="24"/>
        </w:rPr>
        <w:t>Garamendi 110</w:t>
      </w:r>
      <w:r w:rsidRPr="00A416BF">
        <w:rPr>
          <w:rFonts w:ascii="Times New Roman" w:hAnsi="Times New Roman"/>
          <w:sz w:val="24"/>
          <w:szCs w:val="24"/>
        </w:rPr>
        <w:t xml:space="preserve"> – The amendment would have provided modifications to restoration programs for the Great Lakes, Lake Tahoe and Long Island Sound.</w:t>
      </w:r>
      <w:r>
        <w:rPr>
          <w:rFonts w:ascii="Times New Roman" w:hAnsi="Times New Roman"/>
          <w:sz w:val="24"/>
          <w:szCs w:val="24"/>
        </w:rPr>
        <w:t xml:space="preserve"> The amendment was withdrawn, though it was included in the Senate WRDA bill and will become an issue during conference.</w:t>
      </w:r>
    </w:p>
    <w:p w:rsidR="00642C4B" w:rsidRPr="00A416BF" w:rsidRDefault="00642C4B" w:rsidP="00642C4B">
      <w:pPr>
        <w:rPr>
          <w:rFonts w:ascii="Times New Roman" w:hAnsi="Times New Roman"/>
          <w:sz w:val="24"/>
          <w:szCs w:val="24"/>
        </w:rPr>
      </w:pPr>
      <w:r w:rsidRPr="00A416BF">
        <w:rPr>
          <w:rFonts w:ascii="Times New Roman" w:hAnsi="Times New Roman"/>
          <w:b/>
          <w:sz w:val="24"/>
          <w:szCs w:val="24"/>
        </w:rPr>
        <w:t>Graves 41</w:t>
      </w:r>
      <w:r w:rsidRPr="00A416BF">
        <w:rPr>
          <w:rFonts w:ascii="Times New Roman" w:hAnsi="Times New Roman"/>
          <w:sz w:val="24"/>
          <w:szCs w:val="24"/>
        </w:rPr>
        <w:t xml:space="preserve"> – The amendment would have created an arbitration process to resolve disput</w:t>
      </w:r>
      <w:r>
        <w:rPr>
          <w:rFonts w:ascii="Times New Roman" w:hAnsi="Times New Roman"/>
          <w:sz w:val="24"/>
          <w:szCs w:val="24"/>
        </w:rPr>
        <w:t>es between the Corps and a non-f</w:t>
      </w:r>
      <w:r w:rsidRPr="00A416BF">
        <w:rPr>
          <w:rFonts w:ascii="Times New Roman" w:hAnsi="Times New Roman"/>
          <w:sz w:val="24"/>
          <w:szCs w:val="24"/>
        </w:rPr>
        <w:t>ederal entity related to interpretation of the law or provisions in project agreements.</w:t>
      </w:r>
    </w:p>
    <w:p w:rsidR="00642C4B" w:rsidRPr="00A416BF" w:rsidRDefault="00642C4B" w:rsidP="00642C4B">
      <w:pPr>
        <w:rPr>
          <w:rFonts w:ascii="Times New Roman" w:hAnsi="Times New Roman"/>
          <w:sz w:val="24"/>
          <w:szCs w:val="24"/>
        </w:rPr>
      </w:pPr>
      <w:r w:rsidRPr="00A416BF">
        <w:rPr>
          <w:rFonts w:ascii="Times New Roman" w:hAnsi="Times New Roman"/>
          <w:b/>
          <w:sz w:val="24"/>
          <w:szCs w:val="24"/>
        </w:rPr>
        <w:t>Graves 44</w:t>
      </w:r>
      <w:r w:rsidRPr="00A416BF">
        <w:rPr>
          <w:rFonts w:ascii="Times New Roman" w:hAnsi="Times New Roman"/>
          <w:sz w:val="24"/>
          <w:szCs w:val="24"/>
        </w:rPr>
        <w:t xml:space="preserve"> – The amendment would have directed the Sec</w:t>
      </w:r>
      <w:r>
        <w:rPr>
          <w:rFonts w:ascii="Times New Roman" w:hAnsi="Times New Roman"/>
          <w:sz w:val="24"/>
          <w:szCs w:val="24"/>
        </w:rPr>
        <w:t>retary to accept bids from non-f</w:t>
      </w:r>
      <w:r w:rsidRPr="00A416BF">
        <w:rPr>
          <w:rFonts w:ascii="Times New Roman" w:hAnsi="Times New Roman"/>
          <w:sz w:val="24"/>
          <w:szCs w:val="24"/>
        </w:rPr>
        <w:t xml:space="preserve">ederal sponsors to construct a water </w:t>
      </w:r>
      <w:r>
        <w:rPr>
          <w:rFonts w:ascii="Times New Roman" w:hAnsi="Times New Roman"/>
          <w:sz w:val="24"/>
          <w:szCs w:val="24"/>
        </w:rPr>
        <w:t>resources project. If the non-f</w:t>
      </w:r>
      <w:r w:rsidRPr="00A416BF">
        <w:rPr>
          <w:rFonts w:ascii="Times New Roman" w:hAnsi="Times New Roman"/>
          <w:sz w:val="24"/>
          <w:szCs w:val="24"/>
        </w:rPr>
        <w:t>ederal interest could demonstrate greater cost effectiveness and project delivery efficiency than the Corps of Engineers, the Secretary would have been directed to transfer the funds to the non-</w:t>
      </w:r>
      <w:r>
        <w:rPr>
          <w:rFonts w:ascii="Times New Roman" w:hAnsi="Times New Roman"/>
          <w:sz w:val="24"/>
          <w:szCs w:val="24"/>
        </w:rPr>
        <w:t>federal</w:t>
      </w:r>
      <w:r w:rsidRPr="00A416BF">
        <w:rPr>
          <w:rFonts w:ascii="Times New Roman" w:hAnsi="Times New Roman"/>
          <w:sz w:val="24"/>
          <w:szCs w:val="24"/>
        </w:rPr>
        <w:t xml:space="preserve"> interest for project completion.</w:t>
      </w:r>
    </w:p>
    <w:p w:rsidR="00642C4B" w:rsidRPr="00A416BF" w:rsidRDefault="00642C4B" w:rsidP="00642C4B">
      <w:pPr>
        <w:rPr>
          <w:rFonts w:ascii="Times New Roman" w:hAnsi="Times New Roman"/>
          <w:sz w:val="24"/>
          <w:szCs w:val="24"/>
        </w:rPr>
      </w:pPr>
      <w:r w:rsidRPr="00A416BF">
        <w:rPr>
          <w:rFonts w:ascii="Times New Roman" w:hAnsi="Times New Roman"/>
          <w:b/>
          <w:sz w:val="24"/>
          <w:szCs w:val="24"/>
        </w:rPr>
        <w:t>Huffman 162</w:t>
      </w:r>
      <w:r w:rsidRPr="00A416BF">
        <w:rPr>
          <w:rFonts w:ascii="Times New Roman" w:hAnsi="Times New Roman"/>
          <w:sz w:val="24"/>
          <w:szCs w:val="24"/>
        </w:rPr>
        <w:t xml:space="preserve"> – The amendment would have added “TITLE V—RESERVOIR OPERATIONS IMPROVEMENT.”  This provision is essentially Mr. Huffman’s language for revision of water </w:t>
      </w:r>
      <w:r w:rsidRPr="00A416BF">
        <w:rPr>
          <w:rFonts w:ascii="Times New Roman" w:hAnsi="Times New Roman"/>
          <w:sz w:val="24"/>
          <w:szCs w:val="24"/>
        </w:rPr>
        <w:lastRenderedPageBreak/>
        <w:t>control manuals to benefit water supply and other purposes.  Similar language is in Senator Feinstein’s drought legislation.</w:t>
      </w:r>
    </w:p>
    <w:p w:rsidR="00642C4B" w:rsidRPr="00A416BF" w:rsidRDefault="00642C4B" w:rsidP="00642C4B">
      <w:pPr>
        <w:rPr>
          <w:rFonts w:ascii="Times New Roman" w:hAnsi="Times New Roman"/>
          <w:sz w:val="24"/>
          <w:szCs w:val="24"/>
        </w:rPr>
      </w:pPr>
      <w:r w:rsidRPr="00A416BF">
        <w:rPr>
          <w:rFonts w:ascii="Times New Roman" w:hAnsi="Times New Roman"/>
          <w:b/>
          <w:sz w:val="24"/>
          <w:szCs w:val="24"/>
        </w:rPr>
        <w:t>Huffman 164</w:t>
      </w:r>
      <w:r w:rsidRPr="00A416BF">
        <w:rPr>
          <w:rFonts w:ascii="Times New Roman" w:hAnsi="Times New Roman"/>
          <w:sz w:val="24"/>
          <w:szCs w:val="24"/>
        </w:rPr>
        <w:t xml:space="preserve"> – The amendment would have added an additional requirement to Section 111 of the underlying bill.  Section 111 of the bill provides for some measure of Huffman’s Title V (see Huffman 162) by providing that the Secretary may “receive and expend funds from a State or a political subd</w:t>
      </w:r>
      <w:r>
        <w:rPr>
          <w:rFonts w:ascii="Times New Roman" w:hAnsi="Times New Roman"/>
          <w:sz w:val="24"/>
          <w:szCs w:val="24"/>
        </w:rPr>
        <w:t>ivision thereof, and other non-f</w:t>
      </w:r>
      <w:r w:rsidRPr="00A416BF">
        <w:rPr>
          <w:rFonts w:ascii="Times New Roman" w:hAnsi="Times New Roman"/>
          <w:sz w:val="24"/>
          <w:szCs w:val="24"/>
        </w:rPr>
        <w:t>ederal interests, to formulate, review, or revise operational documents for any reservoir for which the Secret</w:t>
      </w:r>
      <w:r>
        <w:rPr>
          <w:rFonts w:ascii="Times New Roman" w:hAnsi="Times New Roman"/>
          <w:sz w:val="24"/>
          <w:szCs w:val="24"/>
        </w:rPr>
        <w:t xml:space="preserve">ary is authorized to prescribe </w:t>
      </w:r>
      <w:r w:rsidRPr="00A416BF">
        <w:rPr>
          <w:rFonts w:ascii="Times New Roman" w:hAnsi="Times New Roman"/>
          <w:sz w:val="24"/>
          <w:szCs w:val="24"/>
        </w:rPr>
        <w:t xml:space="preserve">regulations for the use of storage allocated for flood risk management or navigation pursuant to section 7 of the Act of December 22, 1944 (58 Stat. 890, chapter 665; 16 33 U.S.C. 709.”  This is an amendment to the Corps contributed funds authority applied to review and revision of reservoir operational documents.  Huffman 164 would have added “that, in carrying out this section, the Secretary is authorized to consider the best available science, including, as applicable, forecast-informed reservoir operations, updated watershed data (including knowledge of hydrological and meteorological conditions that influence the timing and quantity of runoff), and structural improvements since the last revision to operational documents.”  This is Huffman’s “forecast-informed operations” initiative.   </w:t>
      </w:r>
    </w:p>
    <w:p w:rsidR="00642C4B" w:rsidRPr="00A416BF" w:rsidRDefault="00642C4B" w:rsidP="00642C4B">
      <w:pPr>
        <w:rPr>
          <w:rFonts w:ascii="Times New Roman" w:hAnsi="Times New Roman"/>
          <w:sz w:val="24"/>
          <w:szCs w:val="24"/>
        </w:rPr>
      </w:pPr>
      <w:r w:rsidRPr="00A416BF">
        <w:rPr>
          <w:rFonts w:ascii="Times New Roman" w:hAnsi="Times New Roman"/>
          <w:b/>
          <w:sz w:val="24"/>
          <w:szCs w:val="24"/>
        </w:rPr>
        <w:t>Huffman 165</w:t>
      </w:r>
      <w:r w:rsidRPr="00A416BF">
        <w:rPr>
          <w:rFonts w:ascii="Times New Roman" w:hAnsi="Times New Roman"/>
          <w:sz w:val="24"/>
          <w:szCs w:val="24"/>
        </w:rPr>
        <w:t xml:space="preserve"> – This amendment would have added Huffman’s directives on reporting the status of water control manual updates and directives to update water control manuals to Section 111 of the underlying bill.  Section 111 of the bill provides for some measure of Huffman’s Title V (see Huffman 162) by providing that the Secretary may “receive and expend funds from a State or a political subdi</w:t>
      </w:r>
      <w:r>
        <w:rPr>
          <w:rFonts w:ascii="Times New Roman" w:hAnsi="Times New Roman"/>
          <w:sz w:val="24"/>
          <w:szCs w:val="24"/>
        </w:rPr>
        <w:t>vision thereof, and other non-fe</w:t>
      </w:r>
      <w:r w:rsidRPr="00A416BF">
        <w:rPr>
          <w:rFonts w:ascii="Times New Roman" w:hAnsi="Times New Roman"/>
          <w:sz w:val="24"/>
          <w:szCs w:val="24"/>
        </w:rPr>
        <w:t>deral interests, to formulate, review, or revise operational documents for any reservoir for which the Secretary is authorized to prescribe  regulations for the use of storage allocated for flood risk management or navigation pursuant to section 7 of the Act of December 22, 1944 (58 Stat. 890, chapter 665; 16 33 U.S.C. 709.”</w:t>
      </w:r>
    </w:p>
    <w:p w:rsidR="00642C4B" w:rsidRPr="00A416BF" w:rsidRDefault="00642C4B" w:rsidP="00642C4B">
      <w:pPr>
        <w:rPr>
          <w:rFonts w:ascii="Times New Roman" w:hAnsi="Times New Roman"/>
          <w:sz w:val="24"/>
          <w:szCs w:val="24"/>
        </w:rPr>
      </w:pPr>
      <w:r w:rsidRPr="00A416BF">
        <w:rPr>
          <w:rFonts w:ascii="Times New Roman" w:hAnsi="Times New Roman"/>
          <w:b/>
          <w:sz w:val="24"/>
          <w:szCs w:val="24"/>
        </w:rPr>
        <w:t>Johnson 74</w:t>
      </w:r>
      <w:r w:rsidRPr="00A416BF">
        <w:rPr>
          <w:rFonts w:ascii="Times New Roman" w:hAnsi="Times New Roman"/>
          <w:sz w:val="24"/>
          <w:szCs w:val="24"/>
        </w:rPr>
        <w:t xml:space="preserve"> – The amendment would have added authority for the Secretary to provide assistance under Corps 219 programs for lead or other drinking water contaminant abatement, including the replacement of water-related infrastructure, in amounts not to exceed the authorized appropriations amounts.</w:t>
      </w:r>
    </w:p>
    <w:p w:rsidR="00BC449B" w:rsidRPr="009A3D94" w:rsidRDefault="00642C4B">
      <w:pPr>
        <w:rPr>
          <w:rFonts w:ascii="Arial" w:hAnsi="Arial" w:cs="Arial"/>
          <w:sz w:val="24"/>
        </w:rPr>
      </w:pPr>
      <w:r w:rsidRPr="00A416BF">
        <w:rPr>
          <w:rFonts w:ascii="Times New Roman" w:hAnsi="Times New Roman"/>
          <w:b/>
          <w:sz w:val="24"/>
          <w:szCs w:val="24"/>
        </w:rPr>
        <w:t>Walters 017</w:t>
      </w:r>
      <w:r w:rsidRPr="00A416BF">
        <w:rPr>
          <w:rFonts w:ascii="Times New Roman" w:hAnsi="Times New Roman"/>
          <w:sz w:val="24"/>
          <w:szCs w:val="24"/>
        </w:rPr>
        <w:t xml:space="preserve"> – The amendment would have amended the definition of water resources project as applied to feasibility studies and Section 7001 of WRRDA 2014 to make water supply and environmental infrastructure projects, including projects designed to reclaim or reuse municipal wastewater or impaired surface or groundwater’ eligible for feasibility studies and the Annual Report under Section 7001 of WRRDA 2014.  “..the terms ‘’water resources project’ and ‘’water resources development project’ include water supply and environmental infrastructure projects, including projects designed to reclaim or reuse municipal wastewater or impaired surface or groundwater.’’  Note: Section 131 of the underlying bill would already make environmental infrastructure projects eligible for the Annual Report under Section 7001 of WRRDA 7001.</w:t>
      </w:r>
      <w:r w:rsidRPr="009A3D94">
        <w:rPr>
          <w:rFonts w:ascii="Arial" w:hAnsi="Arial" w:cs="Arial"/>
          <w:sz w:val="24"/>
        </w:rPr>
        <w:t xml:space="preserve"> </w:t>
      </w:r>
    </w:p>
    <w:sectPr w:rsidR="00BC449B" w:rsidRPr="009A3D94" w:rsidSect="0058179A">
      <w:headerReference w:type="first" r:id="rId8"/>
      <w:footerReference w:type="first" r:id="rId9"/>
      <w:pgSz w:w="12240" w:h="15840"/>
      <w:pgMar w:top="1440" w:right="1440" w:bottom="1440" w:left="1440" w:header="270" w:footer="3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52F" w:rsidRDefault="00FD352F">
      <w:r>
        <w:separator/>
      </w:r>
    </w:p>
  </w:endnote>
  <w:endnote w:type="continuationSeparator" w:id="0">
    <w:p w:rsidR="00FD352F" w:rsidRDefault="00FD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1909" w:tblpY="14761"/>
      <w:tblW w:w="0" w:type="auto"/>
      <w:tblBorders>
        <w:top w:val="single" w:sz="36" w:space="0" w:color="284089"/>
      </w:tblBorders>
      <w:tblLook w:val="00A0" w:firstRow="1" w:lastRow="0" w:firstColumn="1" w:lastColumn="0" w:noHBand="0" w:noVBand="0"/>
    </w:tblPr>
    <w:tblGrid>
      <w:gridCol w:w="8640"/>
    </w:tblGrid>
    <w:tr w:rsidR="0058179A" w:rsidRPr="00A509E9" w:rsidTr="0058179A">
      <w:tc>
        <w:tcPr>
          <w:tcW w:w="8640" w:type="dxa"/>
          <w:tcBorders>
            <w:top w:val="single" w:sz="12" w:space="0" w:color="284089"/>
          </w:tcBorders>
        </w:tcPr>
        <w:p w:rsidR="0058179A" w:rsidRPr="00A509E9" w:rsidRDefault="0058179A" w:rsidP="0058179A">
          <w:pPr>
            <w:pStyle w:val="Footer"/>
            <w:ind w:right="72"/>
            <w:jc w:val="center"/>
            <w:rPr>
              <w:rFonts w:ascii="Arial Narrow" w:hAnsi="Arial Narrow"/>
            </w:rPr>
          </w:pPr>
          <w:r w:rsidRPr="00A509E9">
            <w:rPr>
              <w:rFonts w:ascii="Arial Narrow" w:hAnsi="Arial Narrow"/>
            </w:rPr>
            <w:t>4 E Street SE, Washington, DC 20003</w:t>
          </w:r>
        </w:p>
      </w:tc>
    </w:tr>
    <w:tr w:rsidR="0058179A" w:rsidRPr="00A509E9" w:rsidTr="0058179A">
      <w:tc>
        <w:tcPr>
          <w:tcW w:w="8640" w:type="dxa"/>
        </w:tcPr>
        <w:p w:rsidR="0058179A" w:rsidRPr="00A509E9" w:rsidRDefault="0058179A" w:rsidP="0058179A">
          <w:pPr>
            <w:pStyle w:val="Footer"/>
            <w:jc w:val="center"/>
            <w:rPr>
              <w:rFonts w:ascii="Arial Narrow" w:hAnsi="Arial Narrow"/>
            </w:rPr>
          </w:pPr>
          <w:r w:rsidRPr="00A509E9">
            <w:rPr>
              <w:rFonts w:ascii="Arial Narrow" w:hAnsi="Arial Narrow"/>
            </w:rPr>
            <w:t>Phone: (202) 698-0693   |   Fax: (202) 698-0694</w:t>
          </w:r>
        </w:p>
      </w:tc>
    </w:tr>
  </w:tbl>
  <w:p w:rsidR="00BC449B" w:rsidRPr="00A56930" w:rsidRDefault="00BC4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52F" w:rsidRDefault="00FD352F">
      <w:r>
        <w:separator/>
      </w:r>
    </w:p>
  </w:footnote>
  <w:footnote w:type="continuationSeparator" w:id="0">
    <w:p w:rsidR="00FD352F" w:rsidRDefault="00FD3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030" w:rsidRDefault="00C70030" w:rsidP="00BC449B">
    <w:pPr>
      <w:pStyle w:val="Header"/>
      <w:ind w:left="450" w:right="-1170"/>
    </w:pPr>
  </w:p>
  <w:p w:rsidR="00BC449B" w:rsidRDefault="00C70030" w:rsidP="00BC449B">
    <w:pPr>
      <w:pStyle w:val="Header"/>
      <w:ind w:left="450" w:right="-1170"/>
    </w:pPr>
    <w:r>
      <w:rPr>
        <w:noProof/>
      </w:rPr>
      <w:drawing>
        <wp:anchor distT="0" distB="0" distL="114300" distR="114300" simplePos="0" relativeHeight="251657728" behindDoc="0" locked="0" layoutInCell="1" allowOverlap="1" wp14:anchorId="69013C20" wp14:editId="6F6C94E7">
          <wp:simplePos x="0" y="0"/>
          <wp:positionH relativeFrom="column">
            <wp:posOffset>-227965</wp:posOffset>
          </wp:positionH>
          <wp:positionV relativeFrom="paragraph">
            <wp:posOffset>57150</wp:posOffset>
          </wp:positionV>
          <wp:extent cx="1715135" cy="1371600"/>
          <wp:effectExtent l="0" t="0" r="12065" b="0"/>
          <wp:wrapSquare wrapText="bothSides"/>
          <wp:docPr id="1" name="Picture 0" descr="NWRA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WRA logo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13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3780" w:type="dxa"/>
      <w:tblInd w:w="6048" w:type="dxa"/>
      <w:tblBorders>
        <w:left w:val="single" w:sz="24" w:space="0" w:color="1B3582"/>
      </w:tblBorders>
      <w:tblLook w:val="00A0" w:firstRow="1" w:lastRow="0" w:firstColumn="1" w:lastColumn="0" w:noHBand="0" w:noVBand="0"/>
    </w:tblPr>
    <w:tblGrid>
      <w:gridCol w:w="3780"/>
    </w:tblGrid>
    <w:tr w:rsidR="00BC449B" w:rsidRPr="00A509E9" w:rsidTr="00BF7610">
      <w:tc>
        <w:tcPr>
          <w:tcW w:w="3780" w:type="dxa"/>
        </w:tcPr>
        <w:p w:rsidR="00BC449B" w:rsidRPr="00A509E9" w:rsidRDefault="00C11A75" w:rsidP="00BC449B">
          <w:pPr>
            <w:pStyle w:val="Header"/>
            <w:tabs>
              <w:tab w:val="left" w:pos="7200"/>
            </w:tabs>
            <w:spacing w:before="20" w:after="20"/>
            <w:ind w:right="-990"/>
            <w:rPr>
              <w:rFonts w:ascii="Arial Narrow" w:hAnsi="Arial Narrow"/>
            </w:rPr>
          </w:pPr>
          <w:r>
            <w:rPr>
              <w:rFonts w:ascii="Arial Narrow" w:hAnsi="Arial Narrow"/>
            </w:rPr>
            <w:t>President – Dave Koland</w:t>
          </w:r>
        </w:p>
      </w:tc>
    </w:tr>
    <w:tr w:rsidR="00BC449B" w:rsidRPr="00A509E9" w:rsidTr="00BF7610">
      <w:tc>
        <w:tcPr>
          <w:tcW w:w="3780" w:type="dxa"/>
        </w:tcPr>
        <w:p w:rsidR="00BC449B" w:rsidRPr="00A509E9" w:rsidRDefault="00BC449B" w:rsidP="00C11A75">
          <w:pPr>
            <w:pStyle w:val="Header"/>
            <w:tabs>
              <w:tab w:val="left" w:pos="7200"/>
            </w:tabs>
            <w:spacing w:before="20" w:after="20"/>
            <w:rPr>
              <w:rFonts w:ascii="Arial Narrow" w:hAnsi="Arial Narrow"/>
            </w:rPr>
          </w:pPr>
          <w:r w:rsidRPr="00A509E9">
            <w:rPr>
              <w:rFonts w:ascii="Arial Narrow" w:hAnsi="Arial Narrow"/>
            </w:rPr>
            <w:t xml:space="preserve">1st Vice President – </w:t>
          </w:r>
          <w:r w:rsidR="00C11A75">
            <w:rPr>
              <w:rFonts w:ascii="Arial Narrow" w:hAnsi="Arial Narrow"/>
            </w:rPr>
            <w:t>Ron Thompson</w:t>
          </w:r>
        </w:p>
      </w:tc>
    </w:tr>
    <w:tr w:rsidR="00BC449B" w:rsidRPr="00A509E9" w:rsidTr="00BF7610">
      <w:tc>
        <w:tcPr>
          <w:tcW w:w="3780" w:type="dxa"/>
        </w:tcPr>
        <w:p w:rsidR="00BC449B" w:rsidRPr="00A509E9" w:rsidRDefault="00BC449B" w:rsidP="00C11A75">
          <w:pPr>
            <w:pStyle w:val="Header"/>
            <w:tabs>
              <w:tab w:val="left" w:pos="7200"/>
            </w:tabs>
            <w:spacing w:before="20" w:after="20"/>
            <w:rPr>
              <w:rFonts w:ascii="Arial Narrow" w:hAnsi="Arial Narrow"/>
            </w:rPr>
          </w:pPr>
          <w:r w:rsidRPr="00A509E9">
            <w:rPr>
              <w:rFonts w:ascii="Arial Narrow" w:hAnsi="Arial Narrow"/>
            </w:rPr>
            <w:t xml:space="preserve">2nd Vice President – </w:t>
          </w:r>
          <w:r w:rsidR="00C11A75">
            <w:rPr>
              <w:rFonts w:ascii="Arial Narrow" w:hAnsi="Arial Narrow"/>
            </w:rPr>
            <w:t>Cheryl Zittle</w:t>
          </w:r>
        </w:p>
      </w:tc>
    </w:tr>
    <w:tr w:rsidR="00BC449B" w:rsidRPr="00A509E9" w:rsidTr="009A3D94">
      <w:trPr>
        <w:trHeight w:val="223"/>
      </w:trPr>
      <w:tc>
        <w:tcPr>
          <w:tcW w:w="3780" w:type="dxa"/>
        </w:tcPr>
        <w:p w:rsidR="00BC449B" w:rsidRPr="00A509E9" w:rsidRDefault="008B6B5D" w:rsidP="009A3D94">
          <w:pPr>
            <w:pStyle w:val="Header"/>
            <w:tabs>
              <w:tab w:val="left" w:pos="7200"/>
            </w:tabs>
            <w:spacing w:before="20" w:after="20"/>
            <w:rPr>
              <w:rFonts w:ascii="Arial Narrow" w:hAnsi="Arial Narrow"/>
            </w:rPr>
          </w:pPr>
          <w:r>
            <w:rPr>
              <w:rFonts w:ascii="Arial Narrow" w:hAnsi="Arial Narrow"/>
            </w:rPr>
            <w:t>Treasurer – Glenn Johnson</w:t>
          </w:r>
        </w:p>
      </w:tc>
    </w:tr>
    <w:tr w:rsidR="00BC449B" w:rsidRPr="00A509E9" w:rsidTr="00BF7610">
      <w:tc>
        <w:tcPr>
          <w:tcW w:w="3780" w:type="dxa"/>
        </w:tcPr>
        <w:p w:rsidR="00BC449B" w:rsidRPr="00A509E9" w:rsidRDefault="00BC449B" w:rsidP="00BC449B">
          <w:pPr>
            <w:pStyle w:val="Header"/>
            <w:tabs>
              <w:tab w:val="left" w:pos="7200"/>
            </w:tabs>
            <w:spacing w:before="20" w:after="20"/>
            <w:rPr>
              <w:rFonts w:ascii="Arial Narrow" w:hAnsi="Arial Narrow"/>
            </w:rPr>
          </w:pPr>
          <w:r w:rsidRPr="00A509E9">
            <w:rPr>
              <w:rFonts w:ascii="Arial Narrow" w:hAnsi="Arial Narrow"/>
            </w:rPr>
            <w:t>Executive Vice President – Robert Johnson</w:t>
          </w:r>
        </w:p>
      </w:tc>
    </w:tr>
  </w:tbl>
  <w:p w:rsidR="00BC449B" w:rsidRPr="007B2D94" w:rsidRDefault="00BC449B" w:rsidP="00BC449B">
    <w:pPr>
      <w:pStyle w:val="Header"/>
      <w:tabs>
        <w:tab w:val="left" w:pos="7200"/>
      </w:tabs>
      <w:ind w:left="450"/>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A3BC2"/>
    <w:multiLevelType w:val="hybridMultilevel"/>
    <w:tmpl w:val="9A06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A7F02"/>
    <w:multiLevelType w:val="hybridMultilevel"/>
    <w:tmpl w:val="7CF0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8747D"/>
    <w:multiLevelType w:val="hybridMultilevel"/>
    <w:tmpl w:val="A6B61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4B"/>
    <w:rsid w:val="004D6707"/>
    <w:rsid w:val="0058179A"/>
    <w:rsid w:val="005C2518"/>
    <w:rsid w:val="00642C4B"/>
    <w:rsid w:val="007B2D94"/>
    <w:rsid w:val="008B6B5D"/>
    <w:rsid w:val="009A3D94"/>
    <w:rsid w:val="00A50F97"/>
    <w:rsid w:val="00BC449B"/>
    <w:rsid w:val="00BD1551"/>
    <w:rsid w:val="00BF7610"/>
    <w:rsid w:val="00C11A75"/>
    <w:rsid w:val="00C41205"/>
    <w:rsid w:val="00C70030"/>
    <w:rsid w:val="00CC5783"/>
    <w:rsid w:val="00FD352F"/>
    <w:rsid w:val="00FD42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0FB89A48-77D7-4CC0-8322-135257EA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C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D94"/>
    <w:pPr>
      <w:tabs>
        <w:tab w:val="center" w:pos="4320"/>
        <w:tab w:val="right" w:pos="8640"/>
      </w:tabs>
    </w:pPr>
  </w:style>
  <w:style w:type="character" w:customStyle="1" w:styleId="HeaderChar">
    <w:name w:val="Header Char"/>
    <w:basedOn w:val="DefaultParagraphFont"/>
    <w:link w:val="Header"/>
    <w:uiPriority w:val="99"/>
    <w:rsid w:val="007B2D94"/>
  </w:style>
  <w:style w:type="paragraph" w:styleId="Footer">
    <w:name w:val="footer"/>
    <w:basedOn w:val="Normal"/>
    <w:link w:val="FooterChar"/>
    <w:uiPriority w:val="99"/>
    <w:unhideWhenUsed/>
    <w:rsid w:val="007B2D94"/>
    <w:pPr>
      <w:tabs>
        <w:tab w:val="center" w:pos="4320"/>
        <w:tab w:val="right" w:pos="8640"/>
      </w:tabs>
    </w:pPr>
  </w:style>
  <w:style w:type="character" w:customStyle="1" w:styleId="FooterChar">
    <w:name w:val="Footer Char"/>
    <w:basedOn w:val="DefaultParagraphFont"/>
    <w:link w:val="Footer"/>
    <w:uiPriority w:val="99"/>
    <w:rsid w:val="007B2D94"/>
  </w:style>
  <w:style w:type="table" w:styleId="TableGrid">
    <w:name w:val="Table Grid"/>
    <w:basedOn w:val="TableNormal"/>
    <w:uiPriority w:val="59"/>
    <w:rsid w:val="007B2D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50F97"/>
    <w:pPr>
      <w:ind w:left="720"/>
      <w:contextualSpacing/>
    </w:pPr>
  </w:style>
  <w:style w:type="paragraph" w:styleId="BalloonText">
    <w:name w:val="Balloon Text"/>
    <w:basedOn w:val="Normal"/>
    <w:link w:val="BalloonTextChar"/>
    <w:rsid w:val="00A50F9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A50F9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6602-A76D-4DE8-B272-E64966ED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Water Strategies, LLC</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Valenta</dc:creator>
  <cp:keywords/>
  <cp:lastModifiedBy>David Reynolds</cp:lastModifiedBy>
  <cp:revision>2</cp:revision>
  <cp:lastPrinted>2014-12-18T19:18:00Z</cp:lastPrinted>
  <dcterms:created xsi:type="dcterms:W3CDTF">2016-05-27T14:56:00Z</dcterms:created>
  <dcterms:modified xsi:type="dcterms:W3CDTF">2016-05-27T14:56:00Z</dcterms:modified>
</cp:coreProperties>
</file>