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08D" w:rsidTr="003A008D">
        <w:trPr>
          <w:tblCellSpacing w:w="0" w:type="dxa"/>
          <w:jc w:val="center"/>
        </w:trPr>
        <w:tc>
          <w:tcPr>
            <w:tcW w:w="5000" w:type="pct"/>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3A008D">
              <w:trPr>
                <w:tblCellSpacing w:w="0" w:type="dxa"/>
              </w:trPr>
              <w:tc>
                <w:tcPr>
                  <w:tcW w:w="0" w:type="auto"/>
                  <w:shd w:val="clear" w:color="auto" w:fill="FFFFFF"/>
                  <w:vAlign w:val="bottom"/>
                  <w:hideMark/>
                </w:tcPr>
                <w:p w:rsidR="003A008D" w:rsidRDefault="003A008D">
                  <w:pPr>
                    <w:jc w:val="center"/>
                    <w:rPr>
                      <w:color w:val="000000"/>
                    </w:rPr>
                  </w:pPr>
                  <w:r>
                    <w:rPr>
                      <w:noProof/>
                      <w:color w:val="000000"/>
                    </w:rPr>
                    <w:drawing>
                      <wp:inline distT="0" distB="0" distL="0" distR="0">
                        <wp:extent cx="4756785" cy="1274445"/>
                        <wp:effectExtent l="0" t="0" r="5715" b="1905"/>
                        <wp:docPr id="9" name="Picture 9" descr="currents name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s name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785" cy="1274445"/>
                                </a:xfrm>
                                <a:prstGeom prst="rect">
                                  <a:avLst/>
                                </a:prstGeom>
                                <a:noFill/>
                                <a:ln>
                                  <a:noFill/>
                                </a:ln>
                              </pic:spPr>
                            </pic:pic>
                          </a:graphicData>
                        </a:graphic>
                      </wp:inline>
                    </w:drawing>
                  </w:r>
                  <w:r>
                    <w:rPr>
                      <w:noProof/>
                      <w:color w:val="000000"/>
                    </w:rPr>
                    <w:drawing>
                      <wp:inline distT="0" distB="0" distL="0" distR="0">
                        <wp:extent cx="3064510" cy="2004060"/>
                        <wp:effectExtent l="0" t="0" r="0" b="0"/>
                        <wp:docPr id="8" name="Picture 8" descr="port logo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 logo rever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510" cy="2004060"/>
                                </a:xfrm>
                                <a:prstGeom prst="rect">
                                  <a:avLst/>
                                </a:prstGeom>
                                <a:noFill/>
                                <a:ln>
                                  <a:noFill/>
                                </a:ln>
                              </pic:spPr>
                            </pic:pic>
                          </a:graphicData>
                        </a:graphic>
                      </wp:inline>
                    </w:drawing>
                  </w:r>
                  <w:r>
                    <w:rPr>
                      <w:color w:val="000000"/>
                    </w:rPr>
                    <w:br/>
                  </w:r>
                </w:p>
              </w:tc>
            </w:tr>
          </w:tbl>
          <w:p w:rsidR="003A008D" w:rsidRDefault="003A008D">
            <w:pPr>
              <w:rPr>
                <w:vanish/>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9000"/>
            </w:tblGrid>
            <w:tr w:rsidR="003A008D">
              <w:trPr>
                <w:tblCellSpacing w:w="0" w:type="dxa"/>
              </w:trPr>
              <w:tc>
                <w:tcPr>
                  <w:tcW w:w="0" w:type="auto"/>
                  <w:shd w:val="clear" w:color="auto" w:fill="000000"/>
                  <w:vAlign w:val="center"/>
                  <w:hideMark/>
                </w:tcPr>
                <w:p w:rsidR="003A008D" w:rsidRDefault="003A008D">
                  <w:pPr>
                    <w:jc w:val="center"/>
                    <w:rPr>
                      <w:rFonts w:ascii="Verdana" w:hAnsi="Verdana"/>
                      <w:color w:val="FFFFFF"/>
                      <w:sz w:val="18"/>
                      <w:szCs w:val="18"/>
                    </w:rPr>
                  </w:pPr>
                  <w:r>
                    <w:rPr>
                      <w:rFonts w:ascii="Verdana" w:hAnsi="Verdana"/>
                      <w:color w:val="FFFFFF"/>
                      <w:sz w:val="18"/>
                      <w:szCs w:val="18"/>
                    </w:rPr>
                    <w:t> </w:t>
                  </w:r>
                  <w:r>
                    <w:rPr>
                      <w:rFonts w:ascii="Verdana" w:hAnsi="Verdana"/>
                      <w:noProof/>
                      <w:color w:val="0000FF"/>
                      <w:sz w:val="18"/>
                      <w:szCs w:val="18"/>
                    </w:rPr>
                    <w:drawing>
                      <wp:inline distT="0" distB="0" distL="0" distR="0">
                        <wp:extent cx="155575" cy="155575"/>
                        <wp:effectExtent l="0" t="0" r="0" b="0"/>
                        <wp:docPr id="7" name="Picture 7" descr="Like us on 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us on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color w:val="FFFFFF"/>
                      <w:sz w:val="18"/>
                      <w:szCs w:val="18"/>
                    </w:rPr>
                    <w:t xml:space="preserve">   </w:t>
                  </w:r>
                  <w:r>
                    <w:rPr>
                      <w:rFonts w:ascii="Verdana" w:hAnsi="Verdana"/>
                      <w:noProof/>
                      <w:color w:val="0000FF"/>
                      <w:sz w:val="18"/>
                      <w:szCs w:val="18"/>
                    </w:rPr>
                    <w:drawing>
                      <wp:inline distT="0" distB="0" distL="0" distR="0">
                        <wp:extent cx="155575" cy="155575"/>
                        <wp:effectExtent l="0" t="0" r="0" b="0"/>
                        <wp:docPr id="6" name="Picture 6" descr="Follow us on 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color w:val="FFFFFF"/>
                      <w:sz w:val="18"/>
                      <w:szCs w:val="18"/>
                    </w:rPr>
                    <w:t xml:space="preserve">  </w:t>
                  </w:r>
                  <w:hyperlink r:id="rId12" w:tgtFrame="_blank" w:history="1">
                    <w:r>
                      <w:rPr>
                        <w:rStyle w:val="Hyperlink"/>
                        <w:rFonts w:ascii="Verdana" w:hAnsi="Verdana"/>
                        <w:color w:val="FFFFFF"/>
                        <w:sz w:val="18"/>
                        <w:szCs w:val="18"/>
                        <w:u w:val="none"/>
                      </w:rPr>
                      <w:t>www.redwoodcityport.com</w:t>
                    </w:r>
                  </w:hyperlink>
                  <w:r>
                    <w:rPr>
                      <w:rFonts w:ascii="Verdana" w:hAnsi="Verdana"/>
                      <w:color w:val="FFFFFF"/>
                      <w:sz w:val="18"/>
                      <w:szCs w:val="18"/>
                    </w:rPr>
                    <w:t xml:space="preserve">                                                               October 28 2013</w:t>
                  </w:r>
                </w:p>
              </w:tc>
            </w:tr>
          </w:tbl>
          <w:p w:rsidR="003A008D" w:rsidRDefault="003A008D">
            <w:pPr>
              <w:rPr>
                <w:sz w:val="20"/>
                <w:szCs w:val="20"/>
              </w:rPr>
            </w:pPr>
          </w:p>
        </w:tc>
      </w:tr>
      <w:tr w:rsidR="003A008D" w:rsidTr="003A008D">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A008D">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000"/>
                    <w:gridCol w:w="3000"/>
                  </w:tblGrid>
                  <w:tr w:rsidR="003A008D">
                    <w:trPr>
                      <w:tblCellSpacing w:w="0" w:type="dxa"/>
                    </w:trPr>
                    <w:tc>
                      <w:tcPr>
                        <w:tcW w:w="6000" w:type="dxa"/>
                        <w:shd w:val="clear" w:color="auto" w:fill="FFB966"/>
                        <w:hideMark/>
                      </w:tcPr>
                      <w:tbl>
                        <w:tblPr>
                          <w:tblW w:w="5000" w:type="pct"/>
                          <w:tblCellSpacing w:w="0" w:type="dxa"/>
                          <w:shd w:val="clear" w:color="auto" w:fill="9294F2"/>
                          <w:tblCellMar>
                            <w:top w:w="300" w:type="dxa"/>
                            <w:left w:w="300" w:type="dxa"/>
                            <w:bottom w:w="300" w:type="dxa"/>
                            <w:right w:w="300" w:type="dxa"/>
                          </w:tblCellMar>
                          <w:tblLook w:val="04A0" w:firstRow="1" w:lastRow="0" w:firstColumn="1" w:lastColumn="0" w:noHBand="0" w:noVBand="1"/>
                        </w:tblPr>
                        <w:tblGrid>
                          <w:gridCol w:w="6000"/>
                        </w:tblGrid>
                        <w:tr w:rsidR="003A008D">
                          <w:trPr>
                            <w:tblCellSpacing w:w="0" w:type="dxa"/>
                          </w:trPr>
                          <w:tc>
                            <w:tcPr>
                              <w:tcW w:w="0" w:type="auto"/>
                              <w:shd w:val="clear" w:color="auto" w:fill="9294F2"/>
                              <w:vAlign w:val="center"/>
                            </w:tcPr>
                            <w:p w:rsidR="003A008D" w:rsidRDefault="003A008D">
                              <w:pPr>
                                <w:rPr>
                                  <w:rFonts w:ascii="Verdana" w:hAnsi="Verdana"/>
                                  <w:color w:val="000000"/>
                                  <w:sz w:val="18"/>
                                  <w:szCs w:val="18"/>
                                </w:rPr>
                              </w:pPr>
                              <w:r>
                                <w:rPr>
                                  <w:rFonts w:ascii="Verdana" w:hAnsi="Verdana"/>
                                  <w:color w:val="000000"/>
                                  <w:sz w:val="18"/>
                                  <w:szCs w:val="18"/>
                                </w:rPr>
                                <w:t>Dear John,</w:t>
                              </w:r>
                            </w:p>
                            <w:p w:rsidR="003A008D" w:rsidRDefault="003A008D">
                              <w:pPr>
                                <w:rPr>
                                  <w:rFonts w:ascii="Verdana" w:hAnsi="Verdana"/>
                                  <w:color w:val="000000"/>
                                  <w:sz w:val="18"/>
                                  <w:szCs w:val="18"/>
                                </w:rPr>
                              </w:pPr>
                            </w:p>
                            <w:p w:rsidR="003A008D" w:rsidRDefault="003A008D">
                              <w:pPr>
                                <w:rPr>
                                  <w:rFonts w:ascii="Verdana" w:hAnsi="Verdana"/>
                                  <w:color w:val="000000"/>
                                  <w:sz w:val="18"/>
                                  <w:szCs w:val="18"/>
                                </w:rPr>
                              </w:pPr>
                              <w:r>
                                <w:rPr>
                                  <w:rFonts w:ascii="Verdana" w:hAnsi="Verdana"/>
                                  <w:color w:val="000000"/>
                                  <w:sz w:val="18"/>
                                  <w:szCs w:val="18"/>
                                </w:rPr>
                                <w:t xml:space="preserve">This brief e-news report has two "good news" stories about the Port below.  </w:t>
                              </w:r>
                              <w:r>
                                <w:rPr>
                                  <w:rFonts w:ascii="Verdana" w:hAnsi="Verdana"/>
                                  <w:color w:val="000000"/>
                                  <w:sz w:val="18"/>
                                  <w:szCs w:val="18"/>
                                </w:rPr>
                                <w:br/>
                              </w:r>
                              <w:r>
                                <w:rPr>
                                  <w:rFonts w:ascii="Verdana" w:hAnsi="Verdana"/>
                                  <w:color w:val="000000"/>
                                  <w:sz w:val="18"/>
                                  <w:szCs w:val="18"/>
                                </w:rPr>
                                <w:br/>
                                <w:t>On another note, Port Commission Chair Lorianna Kastrop and past Chairman Dick Dodge received an award of distinction in the special events category for its year-long 75th anniversary celebration in 2012 at the American Association of Port Authorities conference in Orlando, FL, last week. (They are pictured). The Port's year-long celebration was designed to reach the public through special events and social media.</w:t>
                              </w:r>
                              <w:r>
                                <w:rPr>
                                  <w:rFonts w:ascii="Verdana" w:hAnsi="Verdana"/>
                                  <w:color w:val="000000"/>
                                  <w:sz w:val="18"/>
                                  <w:szCs w:val="18"/>
                                </w:rPr>
                                <w:br/>
                              </w:r>
                              <w:r>
                                <w:rPr>
                                  <w:rFonts w:ascii="Verdana" w:hAnsi="Verdana"/>
                                  <w:noProof/>
                                  <w:color w:val="000000"/>
                                  <w:sz w:val="18"/>
                                  <w:szCs w:val="18"/>
                                </w:rPr>
                                <w:drawing>
                                  <wp:inline distT="0" distB="0" distL="0" distR="0">
                                    <wp:extent cx="2110740" cy="1556385"/>
                                    <wp:effectExtent l="0" t="0" r="3810" b="5715"/>
                                    <wp:docPr id="5" name="Picture 5" descr="Lorianna Dick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ianna Dick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0740" cy="1556385"/>
                                            </a:xfrm>
                                            <a:prstGeom prst="rect">
                                              <a:avLst/>
                                            </a:prstGeom>
                                            <a:noFill/>
                                            <a:ln>
                                              <a:noFill/>
                                            </a:ln>
                                          </pic:spPr>
                                        </pic:pic>
                                      </a:graphicData>
                                    </a:graphic>
                                  </wp:inline>
                                </w:drawing>
                              </w:r>
                              <w:r>
                                <w:rPr>
                                  <w:rFonts w:ascii="Verdana" w:hAnsi="Verdana"/>
                                  <w:color w:val="000000"/>
                                  <w:sz w:val="18"/>
                                  <w:szCs w:val="18"/>
                                </w:rPr>
                                <w:br/>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rPr>
                                  <w:rFonts w:ascii="Verdana" w:hAnsi="Verdana"/>
                                  <w:color w:val="000000"/>
                                  <w:sz w:val="18"/>
                                  <w:szCs w:val="18"/>
                                </w:rPr>
                              </w:pPr>
                              <w:r>
                                <w:rPr>
                                  <w:rFonts w:ascii="Verdana" w:hAnsi="Verdana"/>
                                  <w:color w:val="000000"/>
                                  <w:sz w:val="18"/>
                                  <w:szCs w:val="18"/>
                                </w:rPr>
                                <w:t>Sincerely,</w:t>
                              </w:r>
                            </w:p>
                            <w:p w:rsidR="003A008D" w:rsidRDefault="003A008D">
                              <w:pPr>
                                <w:rPr>
                                  <w:rFonts w:ascii="Verdana" w:hAnsi="Verdana"/>
                                  <w:color w:val="000000"/>
                                  <w:sz w:val="18"/>
                                  <w:szCs w:val="18"/>
                                </w:rPr>
                              </w:pPr>
                              <w:r>
                                <w:rPr>
                                  <w:rStyle w:val="Strong"/>
                                  <w:rFonts w:ascii="Verdana" w:hAnsi="Verdana"/>
                                  <w:color w:val="000000"/>
                                  <w:sz w:val="18"/>
                                  <w:szCs w:val="18"/>
                                </w:rPr>
                                <w:t>Mike Giari</w:t>
                              </w:r>
                            </w:p>
                            <w:p w:rsidR="003A008D" w:rsidRDefault="003A008D">
                              <w:pPr>
                                <w:rPr>
                                  <w:rFonts w:ascii="Verdana" w:hAnsi="Verdana"/>
                                  <w:color w:val="000000"/>
                                  <w:sz w:val="18"/>
                                  <w:szCs w:val="18"/>
                                </w:rPr>
                              </w:pPr>
                              <w:r>
                                <w:rPr>
                                  <w:rFonts w:ascii="Verdana" w:hAnsi="Verdana"/>
                                  <w:color w:val="000000"/>
                                  <w:sz w:val="18"/>
                                  <w:szCs w:val="18"/>
                                </w:rPr>
                                <w:t>Executive Director</w:t>
                              </w:r>
                              <w:r>
                                <w:rPr>
                                  <w:rFonts w:ascii="Verdana" w:hAnsi="Verdana"/>
                                  <w:color w:val="000000"/>
                                  <w:sz w:val="18"/>
                                  <w:szCs w:val="18"/>
                                </w:rPr>
                                <w:br/>
                              </w:r>
                              <w:r>
                                <w:rPr>
                                  <w:rFonts w:ascii="Verdana" w:hAnsi="Verdana"/>
                                  <w:color w:val="000000"/>
                                  <w:sz w:val="18"/>
                                  <w:szCs w:val="18"/>
                                </w:rPr>
                                <w:lastRenderedPageBreak/>
                                <w:t>Port of Redwood City</w:t>
                              </w:r>
                            </w:p>
                          </w:tc>
                        </w:tr>
                      </w:tbl>
                      <w:p w:rsidR="003A008D" w:rsidRDefault="003A008D">
                        <w:pPr>
                          <w:rPr>
                            <w:sz w:val="20"/>
                            <w:szCs w:val="20"/>
                          </w:rPr>
                        </w:pPr>
                      </w:p>
                    </w:tc>
                    <w:tc>
                      <w:tcPr>
                        <w:tcW w:w="3000" w:type="dxa"/>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000"/>
                        </w:tblGrid>
                        <w:tr w:rsidR="003A008D">
                          <w:trPr>
                            <w:tblCellSpacing w:w="0" w:type="dxa"/>
                          </w:trPr>
                          <w:tc>
                            <w:tcPr>
                              <w:tcW w:w="0" w:type="auto"/>
                              <w:shd w:val="clear" w:color="auto" w:fill="FFB966"/>
                              <w:vAlign w:val="center"/>
                              <w:hideMark/>
                            </w:tcPr>
                            <w:p w:rsidR="003A008D" w:rsidRDefault="003A008D">
                              <w:pPr>
                                <w:rPr>
                                  <w:rFonts w:ascii="Verdana" w:hAnsi="Verdana"/>
                                  <w:color w:val="800000"/>
                                  <w:spacing w:val="30"/>
                                  <w:sz w:val="28"/>
                                  <w:szCs w:val="28"/>
                                </w:rPr>
                              </w:pPr>
                              <w:r>
                                <w:rPr>
                                  <w:rFonts w:ascii="Verdana" w:hAnsi="Verdana"/>
                                  <w:i/>
                                  <w:iCs/>
                                  <w:color w:val="800000"/>
                                  <w:spacing w:val="30"/>
                                  <w:sz w:val="28"/>
                                  <w:szCs w:val="28"/>
                                </w:rPr>
                                <w:lastRenderedPageBreak/>
                                <w:t>Our News....</w:t>
                              </w:r>
                            </w:p>
                          </w:tc>
                        </w:tr>
                        <w:tr w:rsidR="003A008D">
                          <w:trPr>
                            <w:tblCellSpacing w:w="0" w:type="dxa"/>
                          </w:trPr>
                          <w:tc>
                            <w:tcPr>
                              <w:tcW w:w="0" w:type="auto"/>
                              <w:shd w:val="clear" w:color="auto" w:fill="FFFFFF"/>
                              <w:vAlign w:val="center"/>
                              <w:hideMark/>
                            </w:tcPr>
                            <w:p w:rsidR="003A008D" w:rsidRDefault="003A008D">
                              <w:pPr>
                                <w:rPr>
                                  <w:rFonts w:ascii="Verdana" w:hAnsi="Verdana"/>
                                  <w:color w:val="0032CB"/>
                                </w:rPr>
                              </w:pPr>
                              <w:hyperlink w:anchor="LETTER.BLOCK7" w:history="1">
                                <w:r>
                                  <w:rPr>
                                    <w:rStyle w:val="Hyperlink"/>
                                    <w:rFonts w:ascii="Verdana" w:hAnsi="Verdana"/>
                                    <w:color w:val="0032CB"/>
                                  </w:rPr>
                                  <w:t>Port Ranked 2nd in State in Dry Bulk Cargo Shipping</w:t>
                                </w:r>
                              </w:hyperlink>
                            </w:p>
                          </w:tc>
                        </w:tr>
                        <w:tr w:rsidR="003A008D">
                          <w:trPr>
                            <w:tblCellSpacing w:w="0" w:type="dxa"/>
                          </w:trPr>
                          <w:tc>
                            <w:tcPr>
                              <w:tcW w:w="0" w:type="auto"/>
                              <w:shd w:val="clear" w:color="auto" w:fill="FFFFFF"/>
                              <w:vAlign w:val="center"/>
                              <w:hideMark/>
                            </w:tcPr>
                            <w:p w:rsidR="003A008D" w:rsidRDefault="003A008D">
                              <w:pPr>
                                <w:rPr>
                                  <w:rFonts w:ascii="Verdana" w:hAnsi="Verdana"/>
                                  <w:color w:val="0032CB"/>
                                </w:rPr>
                              </w:pPr>
                              <w:hyperlink w:anchor="LETTER.BLOCK6" w:history="1">
                                <w:r>
                                  <w:rPr>
                                    <w:rStyle w:val="Hyperlink"/>
                                    <w:rFonts w:ascii="Verdana" w:hAnsi="Verdana"/>
                                    <w:color w:val="0032CB"/>
                                  </w:rPr>
                                  <w:t>Port Receives Grant from Homeland Security</w:t>
                                </w:r>
                              </w:hyperlink>
                            </w:p>
                          </w:tc>
                        </w:tr>
                      </w:tbl>
                      <w:p w:rsidR="003A008D" w:rsidRDefault="003A008D">
                        <w:pPr>
                          <w:rPr>
                            <w:sz w:val="20"/>
                            <w:szCs w:val="20"/>
                          </w:rPr>
                        </w:pPr>
                      </w:p>
                    </w:tc>
                  </w:tr>
                </w:tbl>
                <w:p w:rsidR="003A008D" w:rsidRDefault="003A008D">
                  <w:pPr>
                    <w:rPr>
                      <w:sz w:val="20"/>
                      <w:szCs w:val="20"/>
                    </w:rPr>
                  </w:pPr>
                </w:p>
              </w:tc>
            </w:tr>
            <w:tr w:rsidR="003A008D">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A008D">
                    <w:trPr>
                      <w:tblCellSpacing w:w="0" w:type="dxa"/>
                    </w:trPr>
                    <w:tc>
                      <w:tcPr>
                        <w:tcW w:w="5000" w:type="pct"/>
                        <w:vAlign w:val="center"/>
                      </w:tcPr>
                      <w:tbl>
                        <w:tblPr>
                          <w:tblW w:w="5000" w:type="pct"/>
                          <w:tblCellSpacing w:w="0" w:type="dxa"/>
                          <w:shd w:val="clear" w:color="auto" w:fill="FFEC99"/>
                          <w:tblCellMar>
                            <w:top w:w="300" w:type="dxa"/>
                            <w:left w:w="300" w:type="dxa"/>
                            <w:bottom w:w="300" w:type="dxa"/>
                            <w:right w:w="300" w:type="dxa"/>
                          </w:tblCellMar>
                          <w:tblLook w:val="04A0" w:firstRow="1" w:lastRow="0" w:firstColumn="1" w:lastColumn="0" w:noHBand="0" w:noVBand="1"/>
                        </w:tblPr>
                        <w:tblGrid>
                          <w:gridCol w:w="9000"/>
                        </w:tblGrid>
                        <w:tr w:rsidR="003A008D">
                          <w:trPr>
                            <w:tblCellSpacing w:w="0" w:type="dxa"/>
                          </w:trPr>
                          <w:tc>
                            <w:tcPr>
                              <w:tcW w:w="0" w:type="auto"/>
                              <w:shd w:val="clear" w:color="auto" w:fill="863B3B"/>
                              <w:vAlign w:val="center"/>
                              <w:hideMark/>
                            </w:tcPr>
                            <w:p w:rsidR="003A008D" w:rsidRDefault="003A008D">
                              <w:pPr>
                                <w:pStyle w:val="NormalWeb"/>
                                <w:spacing w:before="0" w:beforeAutospacing="0" w:after="0" w:afterAutospacing="0"/>
                                <w:jc w:val="center"/>
                                <w:rPr>
                                  <w:rFonts w:ascii="Verdana" w:hAnsi="Verdana"/>
                                  <w:color w:val="FFFFFF"/>
                                  <w:spacing w:val="30"/>
                                  <w:sz w:val="28"/>
                                  <w:szCs w:val="28"/>
                                </w:rPr>
                              </w:pPr>
                              <w:bookmarkStart w:id="0" w:name="LETTER.BLOCK7"/>
                              <w:bookmarkEnd w:id="0"/>
                              <w:r>
                                <w:rPr>
                                  <w:rFonts w:ascii="Verdana" w:hAnsi="Verdana"/>
                                  <w:color w:val="FFFFFF"/>
                                  <w:spacing w:val="30"/>
                                  <w:sz w:val="28"/>
                                  <w:szCs w:val="28"/>
                                </w:rPr>
                                <w:lastRenderedPageBreak/>
                                <w:t>Port Ranked 2nd in State in Dry Bulk Cargo Shipping </w:t>
                              </w:r>
                            </w:p>
                          </w:tc>
                        </w:tr>
                        <w:tr w:rsidR="003A008D">
                          <w:trPr>
                            <w:tblCellSpacing w:w="0" w:type="dxa"/>
                          </w:trPr>
                          <w:tc>
                            <w:tcPr>
                              <w:tcW w:w="0" w:type="auto"/>
                              <w:shd w:val="clear" w:color="auto" w:fill="FFEC99"/>
                              <w:vAlign w:val="center"/>
                              <w:hideMark/>
                            </w:tcPr>
                            <w:tbl>
                              <w:tblPr>
                                <w:tblpPr w:leftFromText="45" w:rightFromText="45" w:topFromText="75" w:bottomFromText="75" w:vertAnchor="text" w:tblpXSpec="right" w:tblpYSpec="center"/>
                                <w:tblW w:w="2475" w:type="dxa"/>
                                <w:tblCellSpacing w:w="15" w:type="dxa"/>
                                <w:tblLook w:val="04A0" w:firstRow="1" w:lastRow="0" w:firstColumn="1" w:lastColumn="0" w:noHBand="0" w:noVBand="1"/>
                              </w:tblPr>
                              <w:tblGrid>
                                <w:gridCol w:w="2475"/>
                              </w:tblGrid>
                              <w:tr w:rsidR="003A008D">
                                <w:trPr>
                                  <w:tblCellSpacing w:w="15" w:type="dxa"/>
                                </w:trPr>
                                <w:tc>
                                  <w:tcPr>
                                    <w:tcW w:w="2475" w:type="dxa"/>
                                    <w:tcMar>
                                      <w:top w:w="15" w:type="dxa"/>
                                      <w:left w:w="15" w:type="dxa"/>
                                      <w:bottom w:w="15" w:type="dxa"/>
                                      <w:right w:w="15" w:type="dxa"/>
                                    </w:tcMar>
                                    <w:vAlign w:val="center"/>
                                    <w:hideMark/>
                                  </w:tcPr>
                                  <w:p w:rsidR="003A008D" w:rsidRDefault="003A008D">
                                    <w:pPr>
                                      <w:jc w:val="center"/>
                                      <w:rPr>
                                        <w:color w:val="000000"/>
                                      </w:rPr>
                                    </w:pPr>
                                    <w:r>
                                      <w:rPr>
                                        <w:noProof/>
                                        <w:color w:val="000000"/>
                                      </w:rPr>
                                      <w:drawing>
                                        <wp:inline distT="0" distB="0" distL="0" distR="0">
                                          <wp:extent cx="1478915" cy="963295"/>
                                          <wp:effectExtent l="0" t="0" r="6985" b="8255"/>
                                          <wp:docPr id="4" name="Picture 4" descr="Assant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ante sh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8915" cy="963295"/>
                                                  </a:xfrm>
                                                  <a:prstGeom prst="rect">
                                                    <a:avLst/>
                                                  </a:prstGeom>
                                                  <a:noFill/>
                                                  <a:ln>
                                                    <a:noFill/>
                                                  </a:ln>
                                                </pic:spPr>
                                              </pic:pic>
                                            </a:graphicData>
                                          </a:graphic>
                                        </wp:inline>
                                      </w:drawing>
                                    </w:r>
                                  </w:p>
                                </w:tc>
                              </w:tr>
                              <w:tr w:rsidR="003A008D">
                                <w:trPr>
                                  <w:tblCellSpacing w:w="15" w:type="dxa"/>
                                </w:trPr>
                                <w:tc>
                                  <w:tcPr>
                                    <w:tcW w:w="0" w:type="auto"/>
                                    <w:tcMar>
                                      <w:top w:w="15" w:type="dxa"/>
                                      <w:left w:w="15" w:type="dxa"/>
                                      <w:bottom w:w="15" w:type="dxa"/>
                                      <w:right w:w="15" w:type="dxa"/>
                                    </w:tcMar>
                                    <w:vAlign w:val="center"/>
                                    <w:hideMark/>
                                  </w:tcPr>
                                  <w:p w:rsidR="003A008D" w:rsidRDefault="003A008D">
                                    <w:pPr>
                                      <w:jc w:val="center"/>
                                      <w:rPr>
                                        <w:rFonts w:ascii="Verdana" w:hAnsi="Verdana"/>
                                        <w:color w:val="000000"/>
                                        <w:sz w:val="18"/>
                                        <w:szCs w:val="18"/>
                                      </w:rPr>
                                    </w:pPr>
                                    <w:r>
                                      <w:rPr>
                                        <w:rStyle w:val="Strong"/>
                                        <w:rFonts w:ascii="Verdana" w:hAnsi="Verdana"/>
                                        <w:color w:val="000000"/>
                                        <w:sz w:val="18"/>
                                        <w:szCs w:val="18"/>
                                      </w:rPr>
                                      <w:t>2nd Among CA ports</w:t>
                                    </w:r>
                                    <w:r>
                                      <w:rPr>
                                        <w:rFonts w:ascii="Verdana" w:hAnsi="Verdana"/>
                                        <w:color w:val="000000"/>
                                        <w:sz w:val="18"/>
                                        <w:szCs w:val="18"/>
                                      </w:rPr>
                                      <w:t xml:space="preserve">  </w:t>
                                    </w:r>
                                  </w:p>
                                </w:tc>
                              </w:tr>
                            </w:tbl>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Port of Redwood City was recently ranked second in the State of California in volume of dry bulk cargo ton</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nage handled in fiscal year 2012/2013, ending June 30, 2013.</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California Association of Port Authorities (CAPA), which represents the 11 commercial deepwater ports in California, recently announced its annual "ranking" of California ports by tonnage. The Port of Redwood City handled 1.4 million metric tons of dry bulk cargo in FY2012/29013m which ranked it second behind the Port of Long Beach.</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Port of Redwood City is primarily a "bulk port" handling goods that are transported in "ship load" quantities including imported construction materials (sand/gravel aggregates, cement, and gypsum) and exported recycled materials (iron scrap and other metals).</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increase in construction activity in the South San Francisco Bay region increased overall tonnage for the Port by 13 percent over last year. This increase is expected to accelerate next year with the completion of the reconstruction of the Port's Wharves 1&amp;2 facility that handles the majority of bulk construction cargo.</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Total tonnage for all commodities crossing over the docks at the Port of Redwood City during the first quarter of Fiscal year 2014 (period ending September 30, 2013) was 366,063 metric tons, an increase of 27,837 MT, or eight percent over the first quarter of FY 13.</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Approximate percentage breakdowns by commodities: imported sand 46%; imported aggregates 23%; exported shredded scrap metal 21%; imported gypsum seven percent and the remaining three percent consisted of domestic sand.Sand and aggregates continue to be at a high demand for the local ready-mix concrete suppliers, reports Port Operations Manager Don Snaman.</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He said 18 vessels (13 ships, 5 barges) made calls during the first quarter of FY 2013-14.</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tc>
                        </w:tr>
                      </w:tbl>
                      <w:p w:rsidR="003A008D" w:rsidRDefault="003A008D">
                        <w:pPr>
                          <w:rPr>
                            <w:vanish/>
                          </w:rPr>
                        </w:pPr>
                        <w:bookmarkStart w:id="1" w:name="LETTER.BLOCK6"/>
                        <w:bookmarkEnd w:id="1"/>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9000"/>
                        </w:tblGrid>
                        <w:tr w:rsidR="003A008D">
                          <w:trPr>
                            <w:tblCellSpacing w:w="0" w:type="dxa"/>
                          </w:trPr>
                          <w:tc>
                            <w:tcPr>
                              <w:tcW w:w="0" w:type="auto"/>
                              <w:shd w:val="clear" w:color="auto" w:fill="863B3B"/>
                              <w:vAlign w:val="center"/>
                              <w:hideMark/>
                            </w:tcPr>
                            <w:p w:rsidR="003A008D" w:rsidRDefault="003A008D">
                              <w:pPr>
                                <w:pStyle w:val="NormalWeb"/>
                                <w:spacing w:before="0" w:beforeAutospacing="0" w:after="0" w:afterAutospacing="0"/>
                                <w:jc w:val="center"/>
                                <w:rPr>
                                  <w:rFonts w:ascii="Verdana" w:hAnsi="Verdana"/>
                                  <w:color w:val="FFFFFF"/>
                                  <w:spacing w:val="30"/>
                                  <w:sz w:val="28"/>
                                  <w:szCs w:val="28"/>
                                </w:rPr>
                              </w:pPr>
                              <w:r>
                                <w:rPr>
                                  <w:rStyle w:val="Strong"/>
                                  <w:rFonts w:ascii="Verdana" w:hAnsi="Verdana"/>
                                  <w:color w:val="FFFFFF"/>
                                  <w:spacing w:val="30"/>
                                  <w:sz w:val="28"/>
                                  <w:szCs w:val="28"/>
                                </w:rPr>
                                <w:t>Port Receives Grant from Federal Homeland Security</w:t>
                              </w:r>
                            </w:p>
                            <w:p w:rsidR="003A008D" w:rsidRDefault="003A008D">
                              <w:pPr>
                                <w:pStyle w:val="NormalWeb"/>
                                <w:spacing w:before="0" w:beforeAutospacing="0" w:after="0" w:afterAutospacing="0"/>
                                <w:jc w:val="center"/>
                                <w:rPr>
                                  <w:rFonts w:ascii="Verdana" w:hAnsi="Verdana"/>
                                  <w:color w:val="FFFFFF"/>
                                  <w:spacing w:val="30"/>
                                  <w:sz w:val="28"/>
                                  <w:szCs w:val="28"/>
                                </w:rPr>
                              </w:pPr>
                              <w:r>
                                <w:rPr>
                                  <w:rFonts w:ascii="Verdana" w:hAnsi="Verdana"/>
                                  <w:color w:val="FFFFFF"/>
                                  <w:spacing w:val="30"/>
                                  <w:sz w:val="28"/>
                                  <w:szCs w:val="28"/>
                                </w:rPr>
                                <w:t> </w:t>
                              </w:r>
                            </w:p>
                          </w:tc>
                        </w:tr>
                        <w:tr w:rsidR="003A008D">
                          <w:trPr>
                            <w:tblCellSpacing w:w="0" w:type="dxa"/>
                          </w:trPr>
                          <w:tc>
                            <w:tcPr>
                              <w:tcW w:w="0" w:type="auto"/>
                              <w:shd w:val="clear" w:color="auto" w:fill="FFFFFF"/>
                              <w:vAlign w:val="center"/>
                              <w:hideMark/>
                            </w:tcPr>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Port of Redwood City has received a U.S. Department of Homeland Security grant that will enable it to:</w:t>
                              </w:r>
                            </w:p>
                            <w:p w:rsidR="003A008D" w:rsidRDefault="003A008D" w:rsidP="005639F2">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lastRenderedPageBreak/>
                                <w:t xml:space="preserve">Conduct Maritime Security Training and Exercise Planning in order to remain compliant with U.S. Coast Guard regulations and to protect Port personnel, property and cargo. The aim of the training is to build up to a full-scale exercise, one that tests the Port's ability to react to incidents such as breaches of security or natural disasters. </w:t>
                              </w:r>
                            </w:p>
                            <w:p w:rsidR="003A008D" w:rsidRDefault="003A008D" w:rsidP="005639F2">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Develop a Port-wide Business and Continuity/ Resumption of Trade Plan that would enable the Port to resume critical economic functions in the event of a major disaster. The plan acts as a roadmap, allowing the Port to resume operations in a timely, safe and efficient manner, thereby reducing negative impacts to the regional and local economy.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A008D" w:rsidRDefault="003A008D">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grant was for $125,000, and requires the Port to kick in $41,666. Accepting this grant from the Federal Department of Homeland Security will assist the Port in satisfying various state/federal security and emergency response requirements by providing the Port with the much needed funds to conduct training, exercise planning and business continuity planning.</w:t>
                              </w:r>
                            </w:p>
                            <w:p w:rsidR="003A008D" w:rsidRDefault="003A008D">
                              <w:pPr>
                                <w:pStyle w:val="NormalWeb"/>
                                <w:spacing w:before="0" w:beforeAutospacing="0" w:after="0" w:afterAutospacing="0"/>
                                <w:rPr>
                                  <w:rFonts w:ascii="Verdana" w:hAnsi="Verdana"/>
                                  <w:color w:val="000000"/>
                                  <w:sz w:val="18"/>
                                  <w:szCs w:val="18"/>
                                </w:rPr>
                              </w:pPr>
                              <w:r>
                                <w:rPr>
                                  <w:rFonts w:ascii="Verdana" w:hAnsi="Verdana"/>
                                  <w:noProof/>
                                  <w:color w:val="000000"/>
                                  <w:sz w:val="18"/>
                                  <w:szCs w:val="18"/>
                                </w:rPr>
                                <w:drawing>
                                  <wp:inline distT="0" distB="0" distL="0" distR="0">
                                    <wp:extent cx="1682750" cy="1254760"/>
                                    <wp:effectExtent l="0" t="0" r="0" b="2540"/>
                                    <wp:docPr id="3" name="Picture 3" descr="http://ih.constantcontact.com/fs126/1109799539021/img/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26/1109799539021/img/9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0" cy="1254760"/>
                                            </a:xfrm>
                                            <a:prstGeom prst="rect">
                                              <a:avLst/>
                                            </a:prstGeom>
                                            <a:noFill/>
                                            <a:ln>
                                              <a:noFill/>
                                            </a:ln>
                                          </pic:spPr>
                                        </pic:pic>
                                      </a:graphicData>
                                    </a:graphic>
                                  </wp:inline>
                                </w:drawing>
                              </w:r>
                              <w:r>
                                <w:rPr>
                                  <w:rFonts w:ascii="Verdana" w:hAnsi="Verdana"/>
                                  <w:color w:val="000000"/>
                                  <w:sz w:val="18"/>
                                  <w:szCs w:val="18"/>
                                </w:rPr>
                                <w:t> </w:t>
                              </w:r>
                            </w:p>
                          </w:tc>
                        </w:tr>
                      </w:tbl>
                      <w:p w:rsidR="003A008D" w:rsidRDefault="003A008D">
                        <w:pPr>
                          <w:rPr>
                            <w:vanish/>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9000"/>
                        </w:tblGrid>
                        <w:tr w:rsidR="003A008D">
                          <w:trPr>
                            <w:tblCellSpacing w:w="0" w:type="dxa"/>
                          </w:trPr>
                          <w:tc>
                            <w:tcPr>
                              <w:tcW w:w="0" w:type="auto"/>
                              <w:shd w:val="clear" w:color="auto" w:fill="000000"/>
                              <w:vAlign w:val="center"/>
                              <w:hideMark/>
                            </w:tcPr>
                            <w:p w:rsidR="003A008D" w:rsidRDefault="003A008D">
                              <w:pPr>
                                <w:spacing w:after="240"/>
                                <w:jc w:val="center"/>
                                <w:rPr>
                                  <w:rFonts w:ascii="Verdana" w:hAnsi="Verdana"/>
                                  <w:color w:val="FFFFFF"/>
                                  <w:sz w:val="20"/>
                                  <w:szCs w:val="20"/>
                                </w:rPr>
                              </w:pPr>
                              <w:hyperlink r:id="rId16" w:tgtFrame="_blank" w:history="1">
                                <w:r>
                                  <w:rPr>
                                    <w:rStyle w:val="Hyperlink"/>
                                    <w:rFonts w:ascii="Verdana" w:hAnsi="Verdana"/>
                                    <w:color w:val="FFFFFF"/>
                                    <w:sz w:val="20"/>
                                    <w:szCs w:val="20"/>
                                    <w:u w:val="none"/>
                                  </w:rPr>
                                  <w:t>Port of Redwood City </w:t>
                                </w:r>
                              </w:hyperlink>
                              <w:r>
                                <w:rPr>
                                  <w:rFonts w:ascii="Verdana" w:hAnsi="Verdana"/>
                                  <w:color w:val="FFFFFF"/>
                                  <w:sz w:val="20"/>
                                  <w:szCs w:val="20"/>
                                </w:rPr>
                                <w:t xml:space="preserve"> |  675 Seaport Blvd  |  Redwood City, CA 94063</w:t>
                              </w:r>
                              <w:r>
                                <w:rPr>
                                  <w:rFonts w:ascii="Verdana" w:hAnsi="Verdana"/>
                                  <w:color w:val="FFFFFF"/>
                                  <w:sz w:val="20"/>
                                  <w:szCs w:val="20"/>
                                </w:rPr>
                                <w:br/>
                              </w:r>
                              <w:r>
                                <w:rPr>
                                  <w:rFonts w:ascii="Verdana" w:hAnsi="Verdana"/>
                                  <w:color w:val="FFFFFF"/>
                                  <w:sz w:val="20"/>
                                  <w:szCs w:val="20"/>
                                </w:rPr>
                                <w:br/>
                              </w:r>
                              <w:r>
                                <w:rPr>
                                  <w:rFonts w:ascii="Verdana" w:hAnsi="Verdana"/>
                                  <w:noProof/>
                                  <w:color w:val="0000FF"/>
                                  <w:sz w:val="20"/>
                                  <w:szCs w:val="20"/>
                                </w:rPr>
                                <w:drawing>
                                  <wp:inline distT="0" distB="0" distL="0" distR="0">
                                    <wp:extent cx="1079500" cy="184785"/>
                                    <wp:effectExtent l="0" t="0" r="6350" b="5715"/>
                                    <wp:docPr id="2" name="Picture 2" descr="Like us on 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ke us on 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0" cy="184785"/>
                                            </a:xfrm>
                                            <a:prstGeom prst="rect">
                                              <a:avLst/>
                                            </a:prstGeom>
                                            <a:noFill/>
                                            <a:ln>
                                              <a:noFill/>
                                            </a:ln>
                                          </pic:spPr>
                                        </pic:pic>
                                      </a:graphicData>
                                    </a:graphic>
                                  </wp:inline>
                                </w:drawing>
                              </w:r>
                              <w:r>
                                <w:rPr>
                                  <w:rFonts w:ascii="Verdana" w:hAnsi="Verdana"/>
                                  <w:color w:val="FFFFFF"/>
                                  <w:sz w:val="20"/>
                                  <w:szCs w:val="20"/>
                                </w:rPr>
                                <w:t xml:space="preserve">       </w:t>
                              </w:r>
                              <w:r>
                                <w:rPr>
                                  <w:rFonts w:ascii="Verdana" w:hAnsi="Verdana"/>
                                  <w:noProof/>
                                  <w:color w:val="0000FF"/>
                                  <w:sz w:val="20"/>
                                  <w:szCs w:val="20"/>
                                </w:rPr>
                                <w:drawing>
                                  <wp:inline distT="0" distB="0" distL="0" distR="0">
                                    <wp:extent cx="1089660" cy="184785"/>
                                    <wp:effectExtent l="0" t="0" r="0" b="5715"/>
                                    <wp:docPr id="1" name="Picture 1" descr="Follow us on 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low us on 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9660" cy="184785"/>
                                            </a:xfrm>
                                            <a:prstGeom prst="rect">
                                              <a:avLst/>
                                            </a:prstGeom>
                                            <a:noFill/>
                                            <a:ln>
                                              <a:noFill/>
                                            </a:ln>
                                          </pic:spPr>
                                        </pic:pic>
                                      </a:graphicData>
                                    </a:graphic>
                                  </wp:inline>
                                </w:drawing>
                              </w:r>
                            </w:p>
                          </w:tc>
                        </w:tr>
                      </w:tbl>
                      <w:p w:rsidR="003A008D" w:rsidRDefault="003A008D">
                        <w:pPr>
                          <w:rPr>
                            <w:sz w:val="20"/>
                            <w:szCs w:val="20"/>
                          </w:rPr>
                        </w:pPr>
                      </w:p>
                    </w:tc>
                  </w:tr>
                </w:tbl>
                <w:p w:rsidR="003A008D" w:rsidRDefault="003A008D">
                  <w:pPr>
                    <w:rPr>
                      <w:sz w:val="20"/>
                      <w:szCs w:val="20"/>
                    </w:rPr>
                  </w:pPr>
                </w:p>
              </w:tc>
            </w:tr>
          </w:tbl>
          <w:p w:rsidR="003A008D" w:rsidRDefault="003A008D">
            <w:pPr>
              <w:jc w:val="center"/>
              <w:rPr>
                <w:sz w:val="20"/>
                <w:szCs w:val="20"/>
              </w:rPr>
            </w:pPr>
          </w:p>
        </w:tc>
      </w:tr>
    </w:tbl>
    <w:p w:rsidR="00580C24" w:rsidRDefault="00580C24">
      <w:bookmarkStart w:id="2" w:name="_GoBack"/>
      <w:bookmarkEnd w:id="2"/>
    </w:p>
    <w:sectPr w:rsidR="005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756C6"/>
    <w:multiLevelType w:val="multilevel"/>
    <w:tmpl w:val="865C0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8D"/>
    <w:rsid w:val="003A008D"/>
    <w:rsid w:val="0058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08D"/>
    <w:rPr>
      <w:color w:val="0000FF"/>
      <w:u w:val="single"/>
    </w:rPr>
  </w:style>
  <w:style w:type="paragraph" w:styleId="NormalWeb">
    <w:name w:val="Normal (Web)"/>
    <w:basedOn w:val="Normal"/>
    <w:uiPriority w:val="99"/>
    <w:unhideWhenUsed/>
    <w:rsid w:val="003A008D"/>
    <w:pPr>
      <w:spacing w:before="100" w:beforeAutospacing="1" w:after="100" w:afterAutospacing="1"/>
    </w:pPr>
  </w:style>
  <w:style w:type="character" w:styleId="Strong">
    <w:name w:val="Strong"/>
    <w:basedOn w:val="DefaultParagraphFont"/>
    <w:uiPriority w:val="22"/>
    <w:qFormat/>
    <w:rsid w:val="003A008D"/>
    <w:rPr>
      <w:b/>
      <w:bCs/>
    </w:rPr>
  </w:style>
  <w:style w:type="paragraph" w:styleId="BalloonText">
    <w:name w:val="Balloon Text"/>
    <w:basedOn w:val="Normal"/>
    <w:link w:val="BalloonTextChar"/>
    <w:uiPriority w:val="99"/>
    <w:semiHidden/>
    <w:unhideWhenUsed/>
    <w:rsid w:val="003A008D"/>
    <w:rPr>
      <w:rFonts w:ascii="Tahoma" w:hAnsi="Tahoma" w:cs="Tahoma"/>
      <w:sz w:val="16"/>
      <w:szCs w:val="16"/>
    </w:rPr>
  </w:style>
  <w:style w:type="character" w:customStyle="1" w:styleId="BalloonTextChar">
    <w:name w:val="Balloon Text Char"/>
    <w:basedOn w:val="DefaultParagraphFont"/>
    <w:link w:val="BalloonText"/>
    <w:uiPriority w:val="99"/>
    <w:semiHidden/>
    <w:rsid w:val="003A00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08D"/>
    <w:rPr>
      <w:color w:val="0000FF"/>
      <w:u w:val="single"/>
    </w:rPr>
  </w:style>
  <w:style w:type="paragraph" w:styleId="NormalWeb">
    <w:name w:val="Normal (Web)"/>
    <w:basedOn w:val="Normal"/>
    <w:uiPriority w:val="99"/>
    <w:unhideWhenUsed/>
    <w:rsid w:val="003A008D"/>
    <w:pPr>
      <w:spacing w:before="100" w:beforeAutospacing="1" w:after="100" w:afterAutospacing="1"/>
    </w:pPr>
  </w:style>
  <w:style w:type="character" w:styleId="Strong">
    <w:name w:val="Strong"/>
    <w:basedOn w:val="DefaultParagraphFont"/>
    <w:uiPriority w:val="22"/>
    <w:qFormat/>
    <w:rsid w:val="003A008D"/>
    <w:rPr>
      <w:b/>
      <w:bCs/>
    </w:rPr>
  </w:style>
  <w:style w:type="paragraph" w:styleId="BalloonText">
    <w:name w:val="Balloon Text"/>
    <w:basedOn w:val="Normal"/>
    <w:link w:val="BalloonTextChar"/>
    <w:uiPriority w:val="99"/>
    <w:semiHidden/>
    <w:unhideWhenUsed/>
    <w:rsid w:val="003A008D"/>
    <w:rPr>
      <w:rFonts w:ascii="Tahoma" w:hAnsi="Tahoma" w:cs="Tahoma"/>
      <w:sz w:val="16"/>
      <w:szCs w:val="16"/>
    </w:rPr>
  </w:style>
  <w:style w:type="character" w:customStyle="1" w:styleId="BalloonTextChar">
    <w:name w:val="Balloon Text Char"/>
    <w:basedOn w:val="DefaultParagraphFont"/>
    <w:link w:val="BalloonText"/>
    <w:uiPriority w:val="99"/>
    <w:semiHidden/>
    <w:rsid w:val="003A00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oLExSPD-u5B7gVXRtdsqf3sll7dUur0CBgwEsybEnpY4-fSbcn05daDd3rIIiARRaLCu4aTa8XkvhweYJyL3KQ2i7WBEM6_z_axPUJQUvatlWMt0upH16NnS5zHnggEm2ObiomXo3TFGirHI2NsrPQHpMHYYfrk1LUu-HfbbnkaqSGllOz9k2Tuu1rNG12MU2hgk53qj_c2RLO7nnbJFsA0ol2vhngxKuXG6_NLcQi0=&amp;c=cWRXduCQfNlgETSN-26MWefexEmuwQCHVQDawr945WM-330QY8zBJg==&amp;ch=Kkv9LfCYoE1zCGdNXibtrDvxQ5D-qDf-zN-w6U8WzIjjB5WqER69Ug==" TargetMode="External"/><Relationship Id="rId13" Type="http://schemas.openxmlformats.org/officeDocument/2006/relationships/image" Target="media/image5.jpe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r20.rs6.net/tn.jsp?f=001oLExSPD-u5B7gVXRtdsqf3sll7dUur0CBgwEsybEnpY4-fSbcn05dYsacYMqH8OOKI7lmViqddPRXIxOeKJx5wgq31jHT8AAvhwOmDxoampoxbdMAvxfpH7HnUt4Qb5TNwLHYwoUyttvKGpLHVE_bWo3G9mRdmHGAN7V_oxt6ftvTQaf-1WH9w==&amp;c=cWRXduCQfNlgETSN-26MWefexEmuwQCHVQDawr945WM-330QY8zBJg==&amp;ch=Kkv9LfCYoE1zCGdNXibtrDvxQ5D-qDf-zN-w6U8WzIjjB5WqER69U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r20.rs6.net/tn.jsp?f=001oLExSPD-u5B7gVXRtdsqf3sll7dUur0CBgwEsybEnpY4-fSbcn05dYsacYMqH8OOKI7lmViqddPRXIxOeKJx5wgq31jHT8AAvhwOmDxoampoxbdMAvxfpH7HnUt4Qb5TNwLHYwoUyttvKGpLHVE_bWo3G9mRdmHGAN7V_oxt6ftvTQaf-1WH9w==&amp;c=cWRXduCQfNlgETSN-26MWefexEmuwQCHVQDawr945WM-330QY8zBJg==&amp;ch=Kkv9LfCYoE1zCGdNXibtrDvxQ5D-qDf-zN-w6U8WzIjjB5WqER69U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r20.rs6.net/tn.jsp?f=001oLExSPD-u5B7gVXRtdsqf3sll7dUur0CBgwEsybEnpY4-fSbcn05daDd3rIIiARRxiKqJL9XLTerz_lM9tddUyojBRNZ87oajwSDF_AaOocAbv2AsLKDWiI3feDOeE8kVVgGs94y3y2vTjcWEHDYRq3rbmtcDvitREmtkDEHD3bhewpBKvrB7XgAI6P9bIf4&amp;c=cWRXduCQfNlgETSN-26MWefexEmuwQCHVQDawr945WM-330QY8zBJg==&amp;ch=Kkv9LfCYoE1zCGdNXibtrDvxQ5D-qDf-zN-w6U8WzIjjB5WqER69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2013-10-28T15:30:00Z</dcterms:created>
  <dcterms:modified xsi:type="dcterms:W3CDTF">2013-10-28T15:31:00Z</dcterms:modified>
</cp:coreProperties>
</file>