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DC" w:rsidRDefault="00626CDC" w:rsidP="00626CDC">
      <w:pPr>
        <w:pStyle w:val="PlainText"/>
        <w:tabs>
          <w:tab w:val="left" w:pos="360"/>
          <w:tab w:val="left" w:pos="720"/>
          <w:tab w:val="left" w:pos="1080"/>
        </w:tabs>
        <w:jc w:val="center"/>
        <w:rPr>
          <w:rFonts w:ascii="Times New Roman" w:hAnsi="Times New Roman" w:cs="Times New Roman"/>
          <w:sz w:val="24"/>
          <w:szCs w:val="24"/>
          <w:u w:val="single"/>
        </w:rPr>
      </w:pPr>
      <w:bookmarkStart w:id="0" w:name="_GoBack"/>
      <w:bookmarkEnd w:id="0"/>
    </w:p>
    <w:p w:rsidR="00626CDC" w:rsidRDefault="00626CDC" w:rsidP="00626CDC">
      <w:pPr>
        <w:pStyle w:val="PlainText"/>
        <w:tabs>
          <w:tab w:val="left" w:pos="360"/>
          <w:tab w:val="left" w:pos="720"/>
          <w:tab w:val="left" w:pos="1080"/>
        </w:tabs>
        <w:rPr>
          <w:rFonts w:ascii="Times New Roman" w:hAnsi="Times New Roman" w:cs="Times New Roman"/>
          <w:sz w:val="24"/>
          <w:szCs w:val="24"/>
        </w:rPr>
      </w:pPr>
      <w:r w:rsidRPr="00626CDC">
        <w:rPr>
          <w:rFonts w:ascii="Times New Roman" w:hAnsi="Times New Roman" w:cs="Times New Roman"/>
          <w:noProof/>
          <w:sz w:val="24"/>
          <w:szCs w:val="24"/>
        </w:rPr>
        <w:drawing>
          <wp:inline distT="0" distB="0" distL="0" distR="0">
            <wp:extent cx="1710690" cy="1272414"/>
            <wp:effectExtent l="19050" t="0" r="3810" b="0"/>
            <wp:docPr id="1" name="Picture 0" descr="SCC Logo jpg colo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 jpg color.jpeg"/>
                    <pic:cNvPicPr/>
                  </pic:nvPicPr>
                  <pic:blipFill>
                    <a:blip r:embed="rId8" cstate="print"/>
                    <a:stretch>
                      <a:fillRect/>
                    </a:stretch>
                  </pic:blipFill>
                  <pic:spPr>
                    <a:xfrm>
                      <a:off x="0" y="0"/>
                      <a:ext cx="1709277" cy="1271363"/>
                    </a:xfrm>
                    <a:prstGeom prst="rect">
                      <a:avLst/>
                    </a:prstGeom>
                  </pic:spPr>
                </pic:pic>
              </a:graphicData>
            </a:graphic>
          </wp:inline>
        </w:drawing>
      </w:r>
    </w:p>
    <w:p w:rsidR="00626CDC" w:rsidRDefault="00626CDC" w:rsidP="00626CDC">
      <w:pPr>
        <w:pStyle w:val="PlainText"/>
        <w:tabs>
          <w:tab w:val="left" w:pos="360"/>
          <w:tab w:val="left" w:pos="720"/>
          <w:tab w:val="left" w:pos="1080"/>
        </w:tabs>
        <w:rPr>
          <w:rFonts w:ascii="Times New Roman" w:hAnsi="Times New Roman" w:cs="Times New Roman"/>
          <w:sz w:val="24"/>
          <w:szCs w:val="24"/>
        </w:rPr>
      </w:pPr>
    </w:p>
    <w:p w:rsidR="00626CDC" w:rsidRDefault="00626CDC" w:rsidP="00626CDC">
      <w:pPr>
        <w:pStyle w:val="PlainText"/>
        <w:tabs>
          <w:tab w:val="left" w:pos="360"/>
          <w:tab w:val="left" w:pos="720"/>
          <w:tab w:val="left" w:pos="1080"/>
        </w:tabs>
        <w:jc w:val="center"/>
        <w:rPr>
          <w:rFonts w:ascii="Times New Roman" w:hAnsi="Times New Roman" w:cs="Times New Roman"/>
          <w:sz w:val="24"/>
          <w:szCs w:val="24"/>
          <w:u w:val="single"/>
        </w:rPr>
      </w:pPr>
    </w:p>
    <w:p w:rsidR="00626CDC" w:rsidRPr="00626CDC" w:rsidRDefault="00626CDC" w:rsidP="00626CDC">
      <w:pPr>
        <w:pStyle w:val="PlainText"/>
        <w:tabs>
          <w:tab w:val="left" w:pos="360"/>
          <w:tab w:val="left" w:pos="720"/>
          <w:tab w:val="left" w:pos="1080"/>
        </w:tabs>
        <w:jc w:val="center"/>
        <w:rPr>
          <w:rFonts w:ascii="Times New Roman" w:hAnsi="Times New Roman" w:cs="Times New Roman"/>
          <w:sz w:val="24"/>
          <w:szCs w:val="24"/>
          <w:u w:val="single"/>
        </w:rPr>
      </w:pPr>
      <w:r w:rsidRPr="00626CDC">
        <w:rPr>
          <w:rFonts w:ascii="Times New Roman" w:hAnsi="Times New Roman" w:cs="Times New Roman"/>
          <w:sz w:val="24"/>
          <w:szCs w:val="24"/>
          <w:u w:val="single"/>
        </w:rPr>
        <w:t>Meeting Notice</w:t>
      </w: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p>
    <w:p w:rsidR="00626CDC" w:rsidRDefault="00626CDC" w:rsidP="00626CDC">
      <w:pPr>
        <w:pStyle w:val="PlainText"/>
        <w:tabs>
          <w:tab w:val="left" w:pos="360"/>
          <w:tab w:val="left" w:pos="720"/>
          <w:tab w:val="left" w:pos="1080"/>
        </w:tabs>
        <w:rPr>
          <w:rFonts w:ascii="Times New Roman" w:hAnsi="Times New Roman" w:cs="Times New Roman"/>
          <w:sz w:val="24"/>
          <w:szCs w:val="24"/>
        </w:rPr>
      </w:pP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r w:rsidRPr="00AC0C1F">
        <w:rPr>
          <w:rFonts w:ascii="Times New Roman" w:hAnsi="Times New Roman" w:cs="Times New Roman"/>
          <w:sz w:val="24"/>
          <w:szCs w:val="24"/>
        </w:rPr>
        <w:t>Douglas Bosco (Public Member), Chairman</w:t>
      </w: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r w:rsidRPr="00AC0C1F">
        <w:rPr>
          <w:rFonts w:ascii="Times New Roman" w:hAnsi="Times New Roman" w:cs="Times New Roman"/>
          <w:sz w:val="24"/>
          <w:szCs w:val="24"/>
        </w:rPr>
        <w:t>Marisa Moret (Public Member)</w:t>
      </w:r>
    </w:p>
    <w:p w:rsidR="00626CDC" w:rsidRDefault="00626CDC" w:rsidP="00626CDC">
      <w:pPr>
        <w:pStyle w:val="PlainText"/>
        <w:tabs>
          <w:tab w:val="left" w:pos="360"/>
          <w:tab w:val="left" w:pos="720"/>
          <w:tab w:val="left" w:pos="1080"/>
        </w:tabs>
        <w:rPr>
          <w:rFonts w:ascii="Times New Roman" w:hAnsi="Times New Roman" w:cs="Times New Roman"/>
          <w:sz w:val="24"/>
          <w:szCs w:val="24"/>
        </w:rPr>
      </w:pPr>
      <w:r w:rsidRPr="00AC0C1F">
        <w:rPr>
          <w:rFonts w:ascii="Times New Roman" w:hAnsi="Times New Roman" w:cs="Times New Roman"/>
          <w:sz w:val="24"/>
          <w:szCs w:val="24"/>
        </w:rPr>
        <w:t>Ann Notthoff (Public Member)</w:t>
      </w:r>
    </w:p>
    <w:p w:rsidR="003E12AB" w:rsidRPr="00AC0C1F" w:rsidRDefault="003E12AB" w:rsidP="00626CDC">
      <w:pPr>
        <w:pStyle w:val="PlainText"/>
        <w:tabs>
          <w:tab w:val="left" w:pos="360"/>
          <w:tab w:val="left" w:pos="720"/>
          <w:tab w:val="left" w:pos="1080"/>
        </w:tabs>
        <w:rPr>
          <w:rFonts w:ascii="Times New Roman" w:hAnsi="Times New Roman" w:cs="Times New Roman"/>
          <w:sz w:val="24"/>
          <w:szCs w:val="24"/>
        </w:rPr>
      </w:pPr>
      <w:r>
        <w:rPr>
          <w:rFonts w:ascii="Times New Roman" w:hAnsi="Times New Roman" w:cs="Times New Roman"/>
          <w:sz w:val="24"/>
          <w:szCs w:val="24"/>
        </w:rPr>
        <w:t>Peter Sadowski (Public Member)</w:t>
      </w: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r w:rsidRPr="00AC0C1F">
        <w:rPr>
          <w:rFonts w:ascii="Times New Roman" w:hAnsi="Times New Roman" w:cs="Times New Roman"/>
          <w:sz w:val="24"/>
          <w:szCs w:val="24"/>
        </w:rPr>
        <w:t>John Laird, Secretary for Natural Resources;</w:t>
      </w:r>
      <w:r w:rsidR="001E621D">
        <w:rPr>
          <w:rFonts w:ascii="Times New Roman" w:hAnsi="Times New Roman" w:cs="Times New Roman"/>
          <w:sz w:val="24"/>
          <w:szCs w:val="24"/>
        </w:rPr>
        <w:t xml:space="preserve"> Patrick Kemp</w:t>
      </w:r>
      <w:r w:rsidRPr="00AC0C1F">
        <w:rPr>
          <w:rFonts w:ascii="Times New Roman" w:hAnsi="Times New Roman" w:cs="Times New Roman"/>
          <w:sz w:val="24"/>
          <w:szCs w:val="24"/>
        </w:rPr>
        <w:t xml:space="preserve"> (Designated)</w:t>
      </w: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r>
        <w:rPr>
          <w:rFonts w:ascii="Times New Roman" w:hAnsi="Times New Roman" w:cs="Times New Roman"/>
          <w:sz w:val="24"/>
          <w:szCs w:val="24"/>
        </w:rPr>
        <w:t>Mary Shallenberger,</w:t>
      </w:r>
      <w:r w:rsidRPr="00AC0C1F">
        <w:rPr>
          <w:rFonts w:ascii="Times New Roman" w:hAnsi="Times New Roman" w:cs="Times New Roman"/>
          <w:sz w:val="24"/>
          <w:szCs w:val="24"/>
        </w:rPr>
        <w:t xml:space="preserve"> Coastal Commission Chair; Susan Hansch (Designated)</w:t>
      </w: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r w:rsidRPr="00AC0C1F">
        <w:rPr>
          <w:rFonts w:ascii="Times New Roman" w:hAnsi="Times New Roman" w:cs="Times New Roman"/>
          <w:sz w:val="24"/>
          <w:szCs w:val="24"/>
        </w:rPr>
        <w:t xml:space="preserve">Ana </w:t>
      </w:r>
      <w:proofErr w:type="spellStart"/>
      <w:r w:rsidRPr="00AC0C1F">
        <w:rPr>
          <w:rFonts w:ascii="Times New Roman" w:hAnsi="Times New Roman" w:cs="Times New Roman"/>
          <w:sz w:val="24"/>
          <w:szCs w:val="24"/>
        </w:rPr>
        <w:t>Matosantos</w:t>
      </w:r>
      <w:proofErr w:type="spellEnd"/>
      <w:r w:rsidRPr="00AC0C1F">
        <w:rPr>
          <w:rFonts w:ascii="Times New Roman" w:hAnsi="Times New Roman" w:cs="Times New Roman"/>
          <w:sz w:val="24"/>
          <w:szCs w:val="24"/>
        </w:rPr>
        <w:t>, Director, Department of Finance; Karen Finn (Designated)</w:t>
      </w: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p>
    <w:p w:rsidR="00626CDC" w:rsidRPr="00AC0C1F" w:rsidRDefault="00626CDC" w:rsidP="00626CDC">
      <w:pPr>
        <w:pStyle w:val="PlainText"/>
        <w:tabs>
          <w:tab w:val="left" w:pos="360"/>
          <w:tab w:val="left" w:pos="720"/>
          <w:tab w:val="left" w:pos="1080"/>
          <w:tab w:val="center" w:pos="4140"/>
        </w:tabs>
        <w:rPr>
          <w:rFonts w:ascii="Times New Roman" w:hAnsi="Times New Roman" w:cs="Times New Roman"/>
          <w:sz w:val="24"/>
          <w:szCs w:val="24"/>
        </w:rPr>
      </w:pPr>
      <w:r w:rsidRPr="00AC0C1F">
        <w:rPr>
          <w:rFonts w:ascii="Times New Roman" w:hAnsi="Times New Roman" w:cs="Times New Roman"/>
          <w:sz w:val="24"/>
          <w:szCs w:val="24"/>
        </w:rPr>
        <w:t>Senate Representatives</w:t>
      </w:r>
      <w:r w:rsidRPr="00AC0C1F">
        <w:rPr>
          <w:rFonts w:ascii="Times New Roman" w:hAnsi="Times New Roman" w:cs="Times New Roman"/>
          <w:sz w:val="24"/>
          <w:szCs w:val="24"/>
        </w:rPr>
        <w:tab/>
      </w:r>
      <w:r w:rsidRPr="00AC0C1F">
        <w:rPr>
          <w:rFonts w:ascii="Times New Roman" w:hAnsi="Times New Roman" w:cs="Times New Roman"/>
          <w:sz w:val="24"/>
          <w:szCs w:val="24"/>
        </w:rPr>
        <w:tab/>
        <w:t>Assembly Representatives</w:t>
      </w:r>
      <w:r w:rsidRPr="00AC0C1F">
        <w:rPr>
          <w:rFonts w:ascii="Times New Roman" w:hAnsi="Times New Roman" w:cs="Times New Roman"/>
          <w:sz w:val="24"/>
          <w:szCs w:val="24"/>
        </w:rPr>
        <w:tab/>
      </w:r>
    </w:p>
    <w:p w:rsidR="00626CDC" w:rsidRDefault="00626CDC" w:rsidP="00626CDC">
      <w:pPr>
        <w:pStyle w:val="PlainText"/>
        <w:tabs>
          <w:tab w:val="left" w:pos="360"/>
          <w:tab w:val="left" w:pos="720"/>
          <w:tab w:val="left" w:pos="1080"/>
          <w:tab w:val="center" w:pos="4140"/>
        </w:tabs>
        <w:rPr>
          <w:rFonts w:ascii="Times New Roman" w:hAnsi="Times New Roman" w:cs="Times New Roman"/>
          <w:sz w:val="24"/>
          <w:szCs w:val="24"/>
        </w:rPr>
      </w:pPr>
      <w:r>
        <w:rPr>
          <w:rFonts w:ascii="Times New Roman" w:hAnsi="Times New Roman" w:cs="Times New Roman"/>
          <w:sz w:val="24"/>
          <w:szCs w:val="24"/>
        </w:rPr>
        <w:t xml:space="preserve">Anthony </w:t>
      </w:r>
      <w:proofErr w:type="spellStart"/>
      <w:r>
        <w:rPr>
          <w:rFonts w:ascii="Times New Roman" w:hAnsi="Times New Roman" w:cs="Times New Roman"/>
          <w:sz w:val="24"/>
          <w:szCs w:val="24"/>
        </w:rPr>
        <w:t>Cannella</w:t>
      </w:r>
      <w:proofErr w:type="spellEnd"/>
      <w:r>
        <w:rPr>
          <w:rFonts w:ascii="Times New Roman" w:hAnsi="Times New Roman" w:cs="Times New Roman"/>
          <w:sz w:val="24"/>
          <w:szCs w:val="24"/>
        </w:rPr>
        <w:t xml:space="preserve"> (District 12)</w:t>
      </w:r>
      <w:r>
        <w:rPr>
          <w:rFonts w:ascii="Times New Roman" w:hAnsi="Times New Roman" w:cs="Times New Roman"/>
          <w:sz w:val="24"/>
          <w:szCs w:val="24"/>
        </w:rPr>
        <w:tab/>
      </w:r>
      <w:r>
        <w:rPr>
          <w:rFonts w:ascii="Times New Roman" w:hAnsi="Times New Roman" w:cs="Times New Roman"/>
          <w:sz w:val="24"/>
          <w:szCs w:val="24"/>
        </w:rPr>
        <w:tab/>
        <w:t xml:space="preserve">Luis </w:t>
      </w:r>
      <w:proofErr w:type="spellStart"/>
      <w:r>
        <w:rPr>
          <w:rFonts w:ascii="Times New Roman" w:hAnsi="Times New Roman" w:cs="Times New Roman"/>
          <w:sz w:val="24"/>
          <w:szCs w:val="24"/>
        </w:rPr>
        <w:t>Alejo</w:t>
      </w:r>
      <w:proofErr w:type="spellEnd"/>
      <w:r>
        <w:rPr>
          <w:rFonts w:ascii="Times New Roman" w:hAnsi="Times New Roman" w:cs="Times New Roman"/>
          <w:sz w:val="24"/>
          <w:szCs w:val="24"/>
        </w:rPr>
        <w:t xml:space="preserve"> (District 28)</w:t>
      </w:r>
    </w:p>
    <w:p w:rsidR="00626CDC" w:rsidRPr="00AC0C1F" w:rsidRDefault="00626CDC" w:rsidP="00626CDC">
      <w:pPr>
        <w:pStyle w:val="PlainText"/>
        <w:tabs>
          <w:tab w:val="left" w:pos="360"/>
          <w:tab w:val="left" w:pos="720"/>
          <w:tab w:val="left" w:pos="1080"/>
          <w:tab w:val="center" w:pos="4140"/>
        </w:tabs>
        <w:rPr>
          <w:rFonts w:ascii="Times New Roman" w:hAnsi="Times New Roman" w:cs="Times New Roman"/>
          <w:sz w:val="24"/>
          <w:szCs w:val="24"/>
        </w:rPr>
      </w:pPr>
      <w:r>
        <w:rPr>
          <w:rFonts w:ascii="Times New Roman" w:hAnsi="Times New Roman" w:cs="Times New Roman"/>
          <w:sz w:val="24"/>
          <w:szCs w:val="24"/>
        </w:rPr>
        <w:t xml:space="preserve">Noreen Evans (District 2)                   </w:t>
      </w:r>
      <w:r>
        <w:rPr>
          <w:rFonts w:ascii="Times New Roman" w:hAnsi="Times New Roman" w:cs="Times New Roman"/>
          <w:sz w:val="24"/>
          <w:szCs w:val="24"/>
        </w:rPr>
        <w:tab/>
      </w:r>
      <w:r>
        <w:rPr>
          <w:rFonts w:ascii="Times New Roman" w:hAnsi="Times New Roman" w:cs="Times New Roman"/>
          <w:sz w:val="24"/>
          <w:szCs w:val="24"/>
        </w:rPr>
        <w:tab/>
      </w:r>
      <w:r w:rsidRPr="00AC0C1F">
        <w:rPr>
          <w:rFonts w:ascii="Times New Roman" w:hAnsi="Times New Roman" w:cs="Times New Roman"/>
          <w:sz w:val="24"/>
          <w:szCs w:val="24"/>
        </w:rPr>
        <w:t xml:space="preserve">William </w:t>
      </w:r>
      <w:proofErr w:type="spellStart"/>
      <w:r w:rsidRPr="00AC0C1F">
        <w:rPr>
          <w:rFonts w:ascii="Times New Roman" w:hAnsi="Times New Roman" w:cs="Times New Roman"/>
          <w:sz w:val="24"/>
          <w:szCs w:val="24"/>
        </w:rPr>
        <w:t>Monning</w:t>
      </w:r>
      <w:proofErr w:type="spellEnd"/>
      <w:r w:rsidRPr="00AC0C1F">
        <w:rPr>
          <w:rFonts w:ascii="Times New Roman" w:hAnsi="Times New Roman" w:cs="Times New Roman"/>
          <w:sz w:val="24"/>
          <w:szCs w:val="24"/>
        </w:rPr>
        <w:t xml:space="preserve"> (District 27)</w:t>
      </w:r>
    </w:p>
    <w:p w:rsidR="00626CDC" w:rsidRPr="00AC0C1F" w:rsidRDefault="00626CDC" w:rsidP="00626CDC">
      <w:pPr>
        <w:pStyle w:val="PlainText"/>
        <w:tabs>
          <w:tab w:val="left" w:pos="360"/>
          <w:tab w:val="left" w:pos="720"/>
          <w:tab w:val="left" w:pos="1080"/>
          <w:tab w:val="center" w:pos="4140"/>
        </w:tabs>
        <w:rPr>
          <w:rFonts w:ascii="Times New Roman" w:hAnsi="Times New Roman" w:cs="Times New Roman"/>
          <w:sz w:val="24"/>
          <w:szCs w:val="24"/>
        </w:rPr>
      </w:pPr>
      <w:r w:rsidRPr="00AC0C1F">
        <w:rPr>
          <w:rFonts w:ascii="Times New Roman" w:hAnsi="Times New Roman" w:cs="Times New Roman"/>
          <w:sz w:val="24"/>
          <w:szCs w:val="24"/>
        </w:rPr>
        <w:t xml:space="preserve">Joseph </w:t>
      </w:r>
      <w:proofErr w:type="spellStart"/>
      <w:r w:rsidRPr="00AC0C1F">
        <w:rPr>
          <w:rFonts w:ascii="Times New Roman" w:hAnsi="Times New Roman" w:cs="Times New Roman"/>
          <w:sz w:val="24"/>
          <w:szCs w:val="24"/>
        </w:rPr>
        <w:t>Simitian</w:t>
      </w:r>
      <w:proofErr w:type="spellEnd"/>
      <w:r w:rsidRPr="00AC0C1F">
        <w:rPr>
          <w:rFonts w:ascii="Times New Roman" w:hAnsi="Times New Roman" w:cs="Times New Roman"/>
          <w:sz w:val="24"/>
          <w:szCs w:val="24"/>
        </w:rPr>
        <w:t xml:space="preserve"> (District 11)</w:t>
      </w:r>
      <w:r w:rsidRPr="00AC0C1F">
        <w:rPr>
          <w:rFonts w:ascii="Times New Roman" w:hAnsi="Times New Roman" w:cs="Times New Roman"/>
          <w:sz w:val="24"/>
          <w:szCs w:val="24"/>
        </w:rPr>
        <w:tab/>
        <w:t xml:space="preserve"> </w:t>
      </w:r>
      <w:r>
        <w:rPr>
          <w:rFonts w:ascii="Times New Roman" w:hAnsi="Times New Roman" w:cs="Times New Roman"/>
          <w:sz w:val="24"/>
          <w:szCs w:val="24"/>
        </w:rPr>
        <w:tab/>
        <w:t>Das Williams (District 35)</w:t>
      </w: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r w:rsidRPr="00AC0C1F">
        <w:rPr>
          <w:rFonts w:ascii="Times New Roman" w:hAnsi="Times New Roman" w:cs="Times New Roman"/>
          <w:sz w:val="24"/>
          <w:szCs w:val="24"/>
        </w:rPr>
        <w:t xml:space="preserve">  </w:t>
      </w: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r w:rsidRPr="00AC0C1F">
        <w:rPr>
          <w:rFonts w:ascii="Times New Roman" w:hAnsi="Times New Roman" w:cs="Times New Roman"/>
          <w:sz w:val="24"/>
          <w:szCs w:val="24"/>
        </w:rPr>
        <w:t>Sam Schuchat, Executive Officer</w:t>
      </w:r>
    </w:p>
    <w:p w:rsidR="00626CDC" w:rsidRPr="00AC0C1F" w:rsidRDefault="005C66C7" w:rsidP="00626CDC">
      <w:pPr>
        <w:pStyle w:val="PlainText"/>
        <w:tabs>
          <w:tab w:val="left" w:pos="360"/>
          <w:tab w:val="left" w:pos="720"/>
          <w:tab w:val="left" w:pos="1080"/>
        </w:tabs>
        <w:rPr>
          <w:rFonts w:ascii="Times New Roman" w:hAnsi="Times New Roman" w:cs="Times New Roman"/>
          <w:sz w:val="24"/>
          <w:szCs w:val="24"/>
        </w:rPr>
      </w:pPr>
      <w:r>
        <w:rPr>
          <w:rFonts w:ascii="Times New Roman" w:hAnsi="Times New Roman" w:cs="Times New Roman"/>
          <w:sz w:val="24"/>
          <w:szCs w:val="24"/>
        </w:rPr>
        <w:t xml:space="preserve">Elena Eger, </w:t>
      </w:r>
      <w:r w:rsidR="00626CDC" w:rsidRPr="00AC0C1F">
        <w:rPr>
          <w:rFonts w:ascii="Times New Roman" w:hAnsi="Times New Roman" w:cs="Times New Roman"/>
          <w:sz w:val="24"/>
          <w:szCs w:val="24"/>
        </w:rPr>
        <w:t>Legal Counsel</w:t>
      </w:r>
    </w:p>
    <w:p w:rsidR="00626CDC" w:rsidRDefault="00626CDC" w:rsidP="00626CDC"/>
    <w:p w:rsidR="00626CDC" w:rsidRDefault="00626CDC" w:rsidP="00626CDC"/>
    <w:p w:rsidR="00626CDC" w:rsidRPr="00AC0C1F" w:rsidRDefault="00626CDC" w:rsidP="00626CDC">
      <w:pPr>
        <w:pStyle w:val="Heading2"/>
        <w:tabs>
          <w:tab w:val="left" w:pos="360"/>
          <w:tab w:val="left" w:pos="720"/>
          <w:tab w:val="left" w:pos="1080"/>
        </w:tabs>
      </w:pPr>
      <w:r w:rsidRPr="00AC0C1F">
        <w:t>AGENDA</w:t>
      </w:r>
    </w:p>
    <w:p w:rsidR="00626CDC" w:rsidRPr="00AB4802" w:rsidRDefault="00626CDC" w:rsidP="00626CDC">
      <w:pPr>
        <w:tabs>
          <w:tab w:val="left" w:pos="360"/>
          <w:tab w:val="left" w:pos="720"/>
          <w:tab w:val="left" w:pos="1080"/>
        </w:tabs>
      </w:pPr>
      <w:r>
        <w:t xml:space="preserve">           </w:t>
      </w:r>
      <w:r>
        <w:tab/>
      </w:r>
      <w:r>
        <w:tab/>
      </w:r>
      <w:r>
        <w:tab/>
      </w:r>
      <w:r>
        <w:tab/>
      </w:r>
      <w:r>
        <w:tab/>
        <w:t xml:space="preserve">     DATE:  </w:t>
      </w:r>
      <w:r w:rsidRPr="00AC0C1F">
        <w:t xml:space="preserve">Thursday, </w:t>
      </w:r>
      <w:r>
        <w:t>May 24, 2012</w:t>
      </w:r>
      <w:r w:rsidRPr="00AC0C1F">
        <w:tab/>
      </w:r>
      <w:r w:rsidRPr="00AC0C1F">
        <w:tab/>
      </w:r>
      <w:r w:rsidRPr="00AC0C1F">
        <w:tab/>
      </w:r>
      <w:r w:rsidRPr="00AC0C1F">
        <w:tab/>
      </w:r>
      <w:r w:rsidRPr="00AC0C1F">
        <w:tab/>
      </w:r>
      <w:r w:rsidRPr="00AC0C1F">
        <w:tab/>
        <w:t xml:space="preserve">    </w:t>
      </w:r>
      <w:r>
        <w:tab/>
      </w:r>
      <w:r>
        <w:tab/>
      </w:r>
      <w:r>
        <w:tab/>
      </w:r>
      <w:r>
        <w:tab/>
        <w:t xml:space="preserve">    </w:t>
      </w:r>
      <w:r w:rsidRPr="00AC0C1F">
        <w:t xml:space="preserve">  </w:t>
      </w:r>
      <w:r>
        <w:tab/>
        <w:t xml:space="preserve">     </w:t>
      </w:r>
      <w:r w:rsidRPr="00AC0C1F">
        <w:t xml:space="preserve">TIME:  </w:t>
      </w:r>
      <w:r w:rsidRPr="00AB4802">
        <w:t xml:space="preserve"> </w:t>
      </w:r>
      <w:r>
        <w:t>10</w:t>
      </w:r>
      <w:r w:rsidRPr="00AB4802">
        <w:t xml:space="preserve">:00 am </w:t>
      </w:r>
    </w:p>
    <w:p w:rsidR="003E12AB" w:rsidRDefault="00626CDC" w:rsidP="00626CDC">
      <w:pPr>
        <w:ind w:left="2160"/>
      </w:pPr>
      <w:r>
        <w:t xml:space="preserve">        LO</w:t>
      </w:r>
      <w:r w:rsidRPr="00AC0C1F">
        <w:t xml:space="preserve">CATION: </w:t>
      </w:r>
      <w:proofErr w:type="spellStart"/>
      <w:r w:rsidR="003E12AB">
        <w:t>Tsakopoulos</w:t>
      </w:r>
      <w:proofErr w:type="spellEnd"/>
      <w:r w:rsidR="003E12AB">
        <w:t xml:space="preserve"> Library Galleria</w:t>
      </w:r>
    </w:p>
    <w:p w:rsidR="00626CDC" w:rsidRDefault="003E12AB" w:rsidP="003E12AB">
      <w:pPr>
        <w:ind w:left="3600"/>
      </w:pPr>
      <w:r>
        <w:t xml:space="preserve">       East Meeting R</w:t>
      </w:r>
      <w:r w:rsidR="0033466B">
        <w:t>oo</w:t>
      </w:r>
      <w:r>
        <w:t>m</w:t>
      </w:r>
    </w:p>
    <w:p w:rsidR="003E12AB" w:rsidRDefault="003E12AB" w:rsidP="00626CDC">
      <w:pPr>
        <w:ind w:left="2160"/>
      </w:pPr>
      <w:r>
        <w:tab/>
      </w:r>
      <w:r>
        <w:tab/>
        <w:t xml:space="preserve">       828 I St.</w:t>
      </w:r>
    </w:p>
    <w:p w:rsidR="003E12AB" w:rsidRPr="00AC0C1F" w:rsidRDefault="003E12AB" w:rsidP="00626CDC">
      <w:pPr>
        <w:ind w:left="2160"/>
      </w:pPr>
      <w:r>
        <w:t xml:space="preserve">                   </w:t>
      </w:r>
      <w:r>
        <w:tab/>
        <w:t xml:space="preserve">       Sacramento, CA</w:t>
      </w:r>
    </w:p>
    <w:p w:rsidR="00626CDC" w:rsidRDefault="00626CDC" w:rsidP="00626CDC">
      <w:pPr>
        <w:tabs>
          <w:tab w:val="left" w:pos="360"/>
          <w:tab w:val="left" w:pos="720"/>
          <w:tab w:val="left" w:pos="1080"/>
        </w:tabs>
        <w:ind w:firstLine="720"/>
      </w:pPr>
    </w:p>
    <w:p w:rsidR="00626CDC" w:rsidRDefault="00626CDC" w:rsidP="00626CDC">
      <w:pPr>
        <w:tabs>
          <w:tab w:val="left" w:pos="360"/>
          <w:tab w:val="left" w:pos="720"/>
          <w:tab w:val="left" w:pos="1080"/>
        </w:tabs>
        <w:ind w:firstLine="720"/>
      </w:pPr>
    </w:p>
    <w:p w:rsidR="00626CDC" w:rsidRPr="00AC0C1F" w:rsidRDefault="00626CDC" w:rsidP="00626CDC">
      <w:pPr>
        <w:tabs>
          <w:tab w:val="left" w:pos="360"/>
          <w:tab w:val="left" w:pos="720"/>
          <w:tab w:val="left" w:pos="1080"/>
        </w:tabs>
        <w:ind w:firstLine="720"/>
      </w:pPr>
      <w:r>
        <w:t xml:space="preserve"> </w:t>
      </w:r>
      <w:r w:rsidRPr="00AC0C1F">
        <w:tab/>
      </w:r>
      <w:r w:rsidRPr="00AC0C1F">
        <w:tab/>
        <w:t xml:space="preserve">                                        </w:t>
      </w: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r w:rsidRPr="00AC0C1F">
        <w:rPr>
          <w:rFonts w:ascii="Times New Roman" w:hAnsi="Times New Roman" w:cs="Times New Roman"/>
          <w:sz w:val="24"/>
          <w:szCs w:val="24"/>
        </w:rPr>
        <w:t>1.</w:t>
      </w:r>
      <w:r w:rsidRPr="00AC0C1F">
        <w:rPr>
          <w:rFonts w:ascii="Times New Roman" w:hAnsi="Times New Roman" w:cs="Times New Roman"/>
          <w:sz w:val="24"/>
          <w:szCs w:val="24"/>
        </w:rPr>
        <w:tab/>
        <w:t>Roll Call</w:t>
      </w: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p>
    <w:p w:rsidR="00626CDC" w:rsidRDefault="00626CDC" w:rsidP="00626CDC">
      <w:pPr>
        <w:pStyle w:val="PlainText"/>
        <w:numPr>
          <w:ilvl w:val="0"/>
          <w:numId w:val="1"/>
        </w:numPr>
        <w:tabs>
          <w:tab w:val="left" w:pos="360"/>
          <w:tab w:val="left" w:pos="720"/>
          <w:tab w:val="left" w:pos="1080"/>
        </w:tabs>
      </w:pPr>
      <w:r w:rsidRPr="00AC0C1F">
        <w:rPr>
          <w:rFonts w:ascii="Times New Roman" w:hAnsi="Times New Roman" w:cs="Times New Roman"/>
          <w:sz w:val="24"/>
          <w:szCs w:val="24"/>
        </w:rPr>
        <w:t xml:space="preserve">Approval of </w:t>
      </w:r>
      <w:r w:rsidRPr="00AF3EF1">
        <w:rPr>
          <w:rFonts w:ascii="Times New Roman" w:hAnsi="Times New Roman" w:cs="Times New Roman"/>
          <w:sz w:val="24"/>
          <w:szCs w:val="24"/>
          <w:u w:val="single"/>
        </w:rPr>
        <w:t>Minutes of  March</w:t>
      </w:r>
      <w:r w:rsidR="001154A4" w:rsidRPr="00AF3EF1">
        <w:rPr>
          <w:rFonts w:ascii="Times New Roman" w:hAnsi="Times New Roman" w:cs="Times New Roman"/>
          <w:sz w:val="24"/>
          <w:szCs w:val="24"/>
          <w:u w:val="single"/>
        </w:rPr>
        <w:t xml:space="preserve"> </w:t>
      </w:r>
      <w:r w:rsidRPr="00AF3EF1">
        <w:rPr>
          <w:rFonts w:ascii="Times New Roman" w:hAnsi="Times New Roman" w:cs="Times New Roman"/>
          <w:sz w:val="24"/>
          <w:szCs w:val="24"/>
          <w:u w:val="single"/>
        </w:rPr>
        <w:t>29, 2012 Conservancy Meeting</w:t>
      </w:r>
    </w:p>
    <w:p w:rsidR="00626CDC" w:rsidRDefault="00626CDC" w:rsidP="00626CDC">
      <w:pPr>
        <w:tabs>
          <w:tab w:val="left" w:pos="360"/>
          <w:tab w:val="left" w:pos="720"/>
          <w:tab w:val="left" w:pos="1080"/>
        </w:tabs>
      </w:pPr>
    </w:p>
    <w:p w:rsidR="00626CDC" w:rsidRDefault="00626CDC" w:rsidP="00626CDC">
      <w:pPr>
        <w:tabs>
          <w:tab w:val="left" w:pos="360"/>
          <w:tab w:val="left" w:pos="720"/>
          <w:tab w:val="left" w:pos="1080"/>
        </w:tabs>
      </w:pPr>
    </w:p>
    <w:p w:rsidR="00626CDC" w:rsidRPr="008B5217" w:rsidRDefault="00626CDC" w:rsidP="00626CDC">
      <w:pPr>
        <w:pStyle w:val="ListParagraph"/>
        <w:numPr>
          <w:ilvl w:val="0"/>
          <w:numId w:val="1"/>
        </w:numPr>
      </w:pPr>
      <w:r>
        <w:t xml:space="preserve"> </w:t>
      </w:r>
      <w:r>
        <w:rPr>
          <w:u w:val="single"/>
        </w:rPr>
        <w:t>CONSENT ITEMS</w:t>
      </w:r>
    </w:p>
    <w:p w:rsidR="00AF3EF1" w:rsidRPr="00AF3EF1" w:rsidRDefault="00AF3EF1" w:rsidP="00AF3EF1"/>
    <w:p w:rsidR="0002632D" w:rsidRPr="0002632D" w:rsidRDefault="0002632D" w:rsidP="0002632D">
      <w:pPr>
        <w:pStyle w:val="ListParagraph"/>
        <w:numPr>
          <w:ilvl w:val="0"/>
          <w:numId w:val="3"/>
        </w:numPr>
        <w:rPr>
          <w:color w:val="1F497D"/>
        </w:rPr>
      </w:pPr>
      <w:r>
        <w:t xml:space="preserve">Consideration and possible Conservancy authorization to provide up to $60,000 to the Regents of the University of California, Santa Cruz Campus, to undertake a study to examine potential risk factors for shark-bite mortality in </w:t>
      </w:r>
      <w:r w:rsidRPr="0002632D">
        <w:rPr>
          <w:u w:val="single"/>
        </w:rPr>
        <w:t>southern sea otters</w:t>
      </w:r>
      <w:r>
        <w:t>, Santa Barbara to San Mateo Counties.</w:t>
      </w:r>
    </w:p>
    <w:p w:rsidR="00626CDC" w:rsidRDefault="00626CDC"/>
    <w:p w:rsidR="007149AA" w:rsidRPr="00253046" w:rsidRDefault="007149AA" w:rsidP="007149AA">
      <w:pPr>
        <w:pStyle w:val="ListParagraph"/>
        <w:numPr>
          <w:ilvl w:val="0"/>
          <w:numId w:val="3"/>
        </w:numPr>
        <w:rPr>
          <w:u w:val="single"/>
        </w:rPr>
      </w:pPr>
      <w:r>
        <w:t xml:space="preserve">Consideration and possible Conservancy authorization to disburse up to $70,000 to the Maritime Museum of San Diego, for its 2012 Festival of Sail and the Ocean Institute’s </w:t>
      </w:r>
      <w:r w:rsidRPr="00253046">
        <w:rPr>
          <w:u w:val="single"/>
        </w:rPr>
        <w:t>Tall Ships Festival of 2012</w:t>
      </w:r>
      <w:r w:rsidRPr="007149AA">
        <w:t>,</w:t>
      </w:r>
      <w:r>
        <w:t xml:space="preserve"> San Diego County. </w:t>
      </w:r>
    </w:p>
    <w:p w:rsidR="00253046" w:rsidRPr="00253046" w:rsidRDefault="00253046" w:rsidP="00253046">
      <w:pPr>
        <w:pStyle w:val="ListParagraph"/>
        <w:rPr>
          <w:u w:val="single"/>
        </w:rPr>
      </w:pPr>
    </w:p>
    <w:p w:rsidR="00253046" w:rsidRPr="00253046" w:rsidRDefault="00253046" w:rsidP="00253046">
      <w:pPr>
        <w:pStyle w:val="ListParagraph"/>
        <w:rPr>
          <w:u w:val="single"/>
        </w:rPr>
      </w:pPr>
    </w:p>
    <w:p w:rsidR="00A649A1" w:rsidRDefault="00610C7D" w:rsidP="00A649A1">
      <w:pPr>
        <w:pStyle w:val="ListParagraph"/>
        <w:numPr>
          <w:ilvl w:val="0"/>
          <w:numId w:val="3"/>
        </w:numPr>
      </w:pPr>
      <w:r>
        <w:t xml:space="preserve">Consideration and possible Conservancy authorization to disburse up to $169,000 to the County of Santa Clara for the construction, realignment and upgrade of segments of the San Francisco </w:t>
      </w:r>
      <w:r w:rsidRPr="00253046">
        <w:rPr>
          <w:u w:val="single"/>
        </w:rPr>
        <w:t>Bay Area Ridge Trail</w:t>
      </w:r>
      <w:r>
        <w:t xml:space="preserve"> at </w:t>
      </w:r>
      <w:r w:rsidRPr="00253046">
        <w:rPr>
          <w:u w:val="single"/>
        </w:rPr>
        <w:t>Sanborn Park</w:t>
      </w:r>
      <w:r>
        <w:t xml:space="preserve"> in western Santa Clara County</w:t>
      </w:r>
      <w:r w:rsidR="00253046">
        <w:t>.</w:t>
      </w:r>
    </w:p>
    <w:p w:rsidR="00253046" w:rsidRDefault="00253046" w:rsidP="00253046">
      <w:pPr>
        <w:pStyle w:val="ListParagraph"/>
      </w:pPr>
    </w:p>
    <w:p w:rsidR="00253046" w:rsidRDefault="00A649A1" w:rsidP="00610C7D">
      <w:pPr>
        <w:pStyle w:val="ListParagraph"/>
        <w:numPr>
          <w:ilvl w:val="0"/>
          <w:numId w:val="3"/>
        </w:numPr>
      </w:pPr>
      <w:r>
        <w:t xml:space="preserve">Consideration and possible Conservancy authorization to disburse up to $10,000 to Moat Creek Managing Agency to operate and maintain public access improvements at </w:t>
      </w:r>
      <w:r w:rsidRPr="00253046">
        <w:rPr>
          <w:u w:val="single"/>
        </w:rPr>
        <w:t>Moat Creek Beach</w:t>
      </w:r>
      <w:r>
        <w:t xml:space="preserve"> and along the Moat Creek segment of the California Coastal Trail in Mendocino County.</w:t>
      </w:r>
    </w:p>
    <w:p w:rsidR="00253046" w:rsidRDefault="00253046" w:rsidP="00253046">
      <w:pPr>
        <w:pStyle w:val="ListParagraph"/>
      </w:pPr>
    </w:p>
    <w:p w:rsidR="00893049" w:rsidRDefault="00893049" w:rsidP="00253046">
      <w:pPr>
        <w:pStyle w:val="ListParagraph"/>
        <w:numPr>
          <w:ilvl w:val="0"/>
          <w:numId w:val="3"/>
        </w:numPr>
        <w:tabs>
          <w:tab w:val="left" w:pos="0"/>
        </w:tabs>
      </w:pPr>
      <w:r>
        <w:t xml:space="preserve">Consideration and possible Conservancy authorization to disburse up to $111,000 to the Ojai Valley Land Conservancy to prepare a feasibility study and preliminary designs for an Education and Conservation Center at the </w:t>
      </w:r>
      <w:r w:rsidRPr="00253046">
        <w:rPr>
          <w:u w:val="single"/>
        </w:rPr>
        <w:t>Ventura River Steelhead Preserve</w:t>
      </w:r>
      <w:r w:rsidRPr="00C45B8F">
        <w:t>,</w:t>
      </w:r>
      <w:r>
        <w:t xml:space="preserve"> Ventura County.</w:t>
      </w:r>
      <w:r w:rsidR="00253046">
        <w:t xml:space="preserve"> </w:t>
      </w:r>
    </w:p>
    <w:p w:rsidR="00253046" w:rsidRDefault="00253046" w:rsidP="00253046">
      <w:pPr>
        <w:pStyle w:val="ListParagraph"/>
      </w:pPr>
    </w:p>
    <w:p w:rsidR="00066A8F" w:rsidRDefault="00066A8F" w:rsidP="00066A8F">
      <w:pPr>
        <w:pStyle w:val="ListParagraph"/>
        <w:numPr>
          <w:ilvl w:val="0"/>
          <w:numId w:val="3"/>
        </w:numPr>
      </w:pPr>
      <w:r>
        <w:t>Consideration and possible Conservancy authorization to disburse an amount not to exceed $250,000 to the Southwest Wetlands Interpretive Association (SWIA) to continue physical, chemical, and biological monitoring of</w:t>
      </w:r>
      <w:r w:rsidRPr="00893049">
        <w:t xml:space="preserve"> </w:t>
      </w:r>
      <w:r w:rsidRPr="00893049">
        <w:rPr>
          <w:u w:val="single"/>
        </w:rPr>
        <w:t xml:space="preserve">Los </w:t>
      </w:r>
      <w:proofErr w:type="spellStart"/>
      <w:r w:rsidRPr="00893049">
        <w:rPr>
          <w:u w:val="single"/>
        </w:rPr>
        <w:t>Peñasquitos</w:t>
      </w:r>
      <w:proofErr w:type="spellEnd"/>
      <w:r w:rsidRPr="00893049">
        <w:rPr>
          <w:u w:val="single"/>
        </w:rPr>
        <w:t xml:space="preserve"> </w:t>
      </w:r>
      <w:r w:rsidRPr="00200BDB">
        <w:rPr>
          <w:u w:val="single"/>
        </w:rPr>
        <w:t>Lagoon</w:t>
      </w:r>
      <w:r>
        <w:t>, San Diego County.</w:t>
      </w:r>
    </w:p>
    <w:p w:rsidR="009E627A" w:rsidRDefault="009E627A" w:rsidP="009E627A">
      <w:pPr>
        <w:pStyle w:val="ListParagraph"/>
        <w:ind w:left="360"/>
      </w:pPr>
    </w:p>
    <w:p w:rsidR="00253046" w:rsidRPr="00253046" w:rsidRDefault="009E627A" w:rsidP="009E627A">
      <w:pPr>
        <w:pStyle w:val="ListParagraph"/>
        <w:numPr>
          <w:ilvl w:val="0"/>
          <w:numId w:val="3"/>
        </w:numPr>
      </w:pPr>
      <w:r w:rsidRPr="00253046">
        <w:rPr>
          <w:color w:val="000000"/>
        </w:rPr>
        <w:t xml:space="preserve">Consideration and possible Conservancy authorization to disburse an amount not to exceed  $130,000 to augment funding under the Conservancy’s September 25, 2008 authorization to Southwest Wetlands Interpretive Association for the </w:t>
      </w:r>
      <w:r w:rsidRPr="00253046">
        <w:rPr>
          <w:color w:val="000000"/>
          <w:u w:val="single"/>
        </w:rPr>
        <w:t>Tijuana Estuary Sediment Fate and Transport Study</w:t>
      </w:r>
      <w:r w:rsidRPr="00253046">
        <w:rPr>
          <w:color w:val="000000"/>
        </w:rPr>
        <w:t xml:space="preserve"> at the Tijuana River National Estuarine Research Reserve, San Diego County.</w:t>
      </w:r>
    </w:p>
    <w:p w:rsidR="00253046" w:rsidRDefault="00253046" w:rsidP="00253046">
      <w:pPr>
        <w:pStyle w:val="ListParagraph"/>
      </w:pPr>
    </w:p>
    <w:p w:rsidR="009E627A" w:rsidRDefault="00253046" w:rsidP="00253046">
      <w:pPr>
        <w:pStyle w:val="ListParagraph"/>
      </w:pPr>
      <w:r>
        <w:t xml:space="preserve"> </w:t>
      </w:r>
    </w:p>
    <w:p w:rsidR="00626CDC" w:rsidRPr="00626CDC" w:rsidRDefault="00626CDC" w:rsidP="00626CDC">
      <w:pPr>
        <w:pStyle w:val="ListParagraph"/>
        <w:numPr>
          <w:ilvl w:val="0"/>
          <w:numId w:val="1"/>
        </w:numPr>
      </w:pPr>
      <w:r>
        <w:t xml:space="preserve"> </w:t>
      </w:r>
      <w:r>
        <w:rPr>
          <w:u w:val="single"/>
        </w:rPr>
        <w:t>EXECUTIVE OFFICER REPORT</w:t>
      </w:r>
    </w:p>
    <w:p w:rsidR="00626CDC" w:rsidRDefault="00626CDC" w:rsidP="00626CDC"/>
    <w:p w:rsidR="00626CDC" w:rsidRDefault="00626CDC" w:rsidP="00626CDC">
      <w:pPr>
        <w:pStyle w:val="ListParagraph"/>
        <w:numPr>
          <w:ilvl w:val="0"/>
          <w:numId w:val="2"/>
        </w:numPr>
      </w:pPr>
      <w:r>
        <w:t>Ocean Protection Council Update</w:t>
      </w:r>
    </w:p>
    <w:p w:rsidR="00E86927" w:rsidRDefault="00E86927" w:rsidP="00E86927">
      <w:pPr>
        <w:pStyle w:val="ListParagraph"/>
      </w:pPr>
    </w:p>
    <w:p w:rsidR="00626CDC" w:rsidRDefault="00626CDC" w:rsidP="00626CDC">
      <w:pPr>
        <w:pStyle w:val="ListParagraph"/>
        <w:numPr>
          <w:ilvl w:val="0"/>
          <w:numId w:val="2"/>
        </w:numPr>
      </w:pPr>
      <w:r>
        <w:t>Strategic Planning – update</w:t>
      </w:r>
    </w:p>
    <w:p w:rsidR="00E86927" w:rsidRDefault="00E86927" w:rsidP="00E86927">
      <w:pPr>
        <w:pStyle w:val="ListParagraph"/>
      </w:pPr>
    </w:p>
    <w:p w:rsidR="00626CDC" w:rsidRDefault="00626CDC" w:rsidP="00626CDC">
      <w:pPr>
        <w:pStyle w:val="ListParagraph"/>
        <w:numPr>
          <w:ilvl w:val="0"/>
          <w:numId w:val="2"/>
        </w:numPr>
      </w:pPr>
      <w:r>
        <w:t>Legislative report</w:t>
      </w:r>
    </w:p>
    <w:p w:rsidR="00626CDC" w:rsidRDefault="00626CDC" w:rsidP="00626CDC">
      <w:pPr>
        <w:rPr>
          <w:u w:val="single"/>
        </w:rPr>
      </w:pPr>
      <w:r>
        <w:rPr>
          <w:u w:val="single"/>
        </w:rPr>
        <w:lastRenderedPageBreak/>
        <w:t>NORTH COAST</w:t>
      </w:r>
    </w:p>
    <w:p w:rsidR="00626CDC" w:rsidRDefault="00626CDC" w:rsidP="00626CDC">
      <w:pPr>
        <w:rPr>
          <w:u w:val="single"/>
        </w:rPr>
      </w:pPr>
    </w:p>
    <w:p w:rsidR="00B11309" w:rsidRPr="00B56B91" w:rsidRDefault="00B11309" w:rsidP="00AC7D3D">
      <w:pPr>
        <w:pStyle w:val="ListParagraph"/>
        <w:numPr>
          <w:ilvl w:val="0"/>
          <w:numId w:val="1"/>
        </w:numPr>
        <w:rPr>
          <w:color w:val="1F497D"/>
        </w:rPr>
      </w:pPr>
      <w:r>
        <w:t>Consider</w:t>
      </w:r>
      <w:r w:rsidRPr="00E017F2">
        <w:t>a</w:t>
      </w:r>
      <w:r>
        <w:t>tion and possible Conservancy authorization to disburse</w:t>
      </w:r>
      <w:r w:rsidR="00B56B91">
        <w:t xml:space="preserve"> up to</w:t>
      </w:r>
      <w:r>
        <w:t xml:space="preserve"> $300,000 to the Endangered Habitats Conservancy in order to complete the conceptual </w:t>
      </w:r>
      <w:r w:rsidRPr="00B11309">
        <w:rPr>
          <w:u w:val="single"/>
        </w:rPr>
        <w:t>design of a floodplain restoration project on the Russian River</w:t>
      </w:r>
      <w:r>
        <w:t>, Sonoma County.</w:t>
      </w:r>
    </w:p>
    <w:p w:rsidR="00B56B91" w:rsidRDefault="00B56B91" w:rsidP="00B56B91">
      <w:pPr>
        <w:rPr>
          <w:color w:val="1F497D"/>
        </w:rPr>
      </w:pPr>
    </w:p>
    <w:p w:rsidR="00626CDC" w:rsidRPr="0013167E" w:rsidRDefault="00B56B91" w:rsidP="00626CDC">
      <w:pPr>
        <w:pStyle w:val="ListParagraph"/>
        <w:numPr>
          <w:ilvl w:val="0"/>
          <w:numId w:val="1"/>
        </w:numPr>
        <w:rPr>
          <w:u w:val="single"/>
        </w:rPr>
      </w:pPr>
      <w:r w:rsidRPr="00B56B91">
        <w:t xml:space="preserve">Consideration and possible Conservancy authorization to disburse up to $210,000 to the Salt River Watershed Council </w:t>
      </w:r>
      <w:r w:rsidRPr="0013167E">
        <w:rPr>
          <w:u w:val="single"/>
        </w:rPr>
        <w:t xml:space="preserve">to acquire the 23-acre </w:t>
      </w:r>
      <w:proofErr w:type="spellStart"/>
      <w:r w:rsidRPr="0013167E">
        <w:rPr>
          <w:u w:val="single"/>
        </w:rPr>
        <w:t>Toste</w:t>
      </w:r>
      <w:proofErr w:type="spellEnd"/>
      <w:r w:rsidRPr="0013167E">
        <w:rPr>
          <w:u w:val="single"/>
        </w:rPr>
        <w:t xml:space="preserve"> parcel</w:t>
      </w:r>
      <w:r w:rsidRPr="00B56B91">
        <w:t xml:space="preserve"> near Ferndale, Humboldt County, for purposes of riparian restoration and agricultural preservation consistent with the Salt River Ecosystem Restoration Project.</w:t>
      </w:r>
    </w:p>
    <w:p w:rsidR="00B56B91" w:rsidRDefault="00B56B91" w:rsidP="00626CDC">
      <w:pPr>
        <w:rPr>
          <w:u w:val="single"/>
        </w:rPr>
      </w:pPr>
    </w:p>
    <w:p w:rsidR="00B56B91" w:rsidRDefault="00B56B91" w:rsidP="00626CDC">
      <w:pPr>
        <w:rPr>
          <w:u w:val="single"/>
        </w:rPr>
      </w:pPr>
    </w:p>
    <w:p w:rsidR="00626CDC" w:rsidRDefault="00626CDC" w:rsidP="00626CDC">
      <w:pPr>
        <w:rPr>
          <w:u w:val="single"/>
        </w:rPr>
      </w:pPr>
      <w:r>
        <w:rPr>
          <w:u w:val="single"/>
        </w:rPr>
        <w:t>SAN FRANCISCO BAY AREA</w:t>
      </w:r>
    </w:p>
    <w:p w:rsidR="00E86927" w:rsidRDefault="00E86927" w:rsidP="00626CDC">
      <w:pPr>
        <w:rPr>
          <w:u w:val="single"/>
        </w:rPr>
      </w:pPr>
    </w:p>
    <w:p w:rsidR="00253046" w:rsidRDefault="00AC7D3D" w:rsidP="00AC7D3D">
      <w:pPr>
        <w:pStyle w:val="ListParagraph"/>
        <w:numPr>
          <w:ilvl w:val="0"/>
          <w:numId w:val="1"/>
        </w:numPr>
      </w:pPr>
      <w:r>
        <w:t xml:space="preserve">Consideration and possible Conservancy authorization to disburse an amount not to exceed $1,371,450 to the Brentwood Agricultural Land Trust to acquire an agricultural conservation easement over each of the four parcels that constitute the 166-acre </w:t>
      </w:r>
      <w:proofErr w:type="spellStart"/>
      <w:r w:rsidRPr="00253046">
        <w:rPr>
          <w:u w:val="single"/>
        </w:rPr>
        <w:t>Stenzel</w:t>
      </w:r>
      <w:proofErr w:type="spellEnd"/>
      <w:r w:rsidRPr="00253046">
        <w:rPr>
          <w:u w:val="single"/>
        </w:rPr>
        <w:t xml:space="preserve"> property near Brentwood</w:t>
      </w:r>
      <w:r>
        <w:t xml:space="preserve"> in Contra Costa County.</w:t>
      </w:r>
    </w:p>
    <w:p w:rsidR="00253046" w:rsidRDefault="00253046" w:rsidP="00253046">
      <w:pPr>
        <w:pStyle w:val="ListParagraph"/>
        <w:ind w:left="360"/>
      </w:pPr>
    </w:p>
    <w:p w:rsidR="00253046" w:rsidRPr="00253046" w:rsidRDefault="00610C7D" w:rsidP="00626CDC">
      <w:pPr>
        <w:pStyle w:val="ListParagraph"/>
        <w:numPr>
          <w:ilvl w:val="0"/>
          <w:numId w:val="1"/>
        </w:numPr>
        <w:rPr>
          <w:u w:val="single"/>
        </w:rPr>
      </w:pPr>
      <w:r>
        <w:t xml:space="preserve">Consideration and possible Conservancy authorization to disburse up to $500,000 to The Nature Conservancy for acquisition of the 1,155-acre </w:t>
      </w:r>
      <w:r w:rsidRPr="00253046">
        <w:rPr>
          <w:u w:val="single"/>
        </w:rPr>
        <w:t>Nolan Ranch</w:t>
      </w:r>
      <w:r>
        <w:t xml:space="preserve"> near San Jose in unincorporated Santa Clara County.</w:t>
      </w:r>
    </w:p>
    <w:p w:rsidR="00253046" w:rsidRPr="00253046" w:rsidRDefault="00253046" w:rsidP="00253046">
      <w:pPr>
        <w:pStyle w:val="ListParagraph"/>
        <w:rPr>
          <w:u w:val="single"/>
        </w:rPr>
      </w:pPr>
    </w:p>
    <w:p w:rsidR="00626CDC" w:rsidRDefault="00253046" w:rsidP="00253046">
      <w:pPr>
        <w:pStyle w:val="ListParagraph"/>
        <w:ind w:left="360"/>
        <w:rPr>
          <w:u w:val="single"/>
        </w:rPr>
      </w:pPr>
      <w:r w:rsidRPr="00253046">
        <w:rPr>
          <w:u w:val="single"/>
        </w:rPr>
        <w:t xml:space="preserve"> </w:t>
      </w:r>
    </w:p>
    <w:p w:rsidR="00626CDC" w:rsidRDefault="00626CDC" w:rsidP="00626CDC">
      <w:pPr>
        <w:rPr>
          <w:u w:val="single"/>
        </w:rPr>
      </w:pPr>
      <w:r>
        <w:rPr>
          <w:u w:val="single"/>
        </w:rPr>
        <w:t>CENTRAL COAST</w:t>
      </w:r>
    </w:p>
    <w:p w:rsidR="00AF3EF1" w:rsidRDefault="00AF3EF1" w:rsidP="00626CDC">
      <w:pPr>
        <w:rPr>
          <w:u w:val="single"/>
        </w:rPr>
      </w:pPr>
    </w:p>
    <w:p w:rsidR="00253046" w:rsidRPr="00253046" w:rsidRDefault="00AF3EF1" w:rsidP="00AF3EF1">
      <w:pPr>
        <w:pStyle w:val="Default"/>
        <w:numPr>
          <w:ilvl w:val="0"/>
          <w:numId w:val="1"/>
        </w:numPr>
        <w:tabs>
          <w:tab w:val="left" w:pos="0"/>
        </w:tabs>
      </w:pPr>
      <w:r w:rsidRPr="00AF3EF1">
        <w:t xml:space="preserve">Consideration and possible Conservancy </w:t>
      </w:r>
      <w:r w:rsidRPr="00AF3EF1">
        <w:rPr>
          <w:color w:val="auto"/>
        </w:rPr>
        <w:t xml:space="preserve">authorization to disburse up to $600,000 to the Elkhorn Slough Foundation to prepare design, engineering, environmental analysis and permit application documents for restoration of tidal marsh and connected uplands in </w:t>
      </w:r>
      <w:r w:rsidRPr="00253046">
        <w:rPr>
          <w:color w:val="auto"/>
          <w:u w:val="single"/>
        </w:rPr>
        <w:t>Elkhorn Slough</w:t>
      </w:r>
      <w:r w:rsidRPr="00AF3EF1">
        <w:rPr>
          <w:color w:val="auto"/>
        </w:rPr>
        <w:t>, Monterey County.</w:t>
      </w:r>
    </w:p>
    <w:p w:rsidR="00AF3EF1" w:rsidRPr="00AF3EF1" w:rsidRDefault="00253046" w:rsidP="00253046">
      <w:pPr>
        <w:pStyle w:val="Default"/>
        <w:tabs>
          <w:tab w:val="left" w:pos="0"/>
        </w:tabs>
        <w:ind w:left="360"/>
      </w:pPr>
      <w:r w:rsidRPr="00AF3EF1">
        <w:t xml:space="preserve"> </w:t>
      </w:r>
    </w:p>
    <w:p w:rsidR="001F6AC0" w:rsidRPr="001F6AC0" w:rsidRDefault="001F6AC0" w:rsidP="001F6AC0">
      <w:pPr>
        <w:pStyle w:val="Default"/>
        <w:numPr>
          <w:ilvl w:val="0"/>
          <w:numId w:val="1"/>
        </w:numPr>
      </w:pPr>
      <w:r w:rsidRPr="001F6AC0">
        <w:t xml:space="preserve">Consideration and possible Conservancy authorization to disburse up to $200,000 to the City of Santa Barbara to reconstruct the lower portion of the public stairway to </w:t>
      </w:r>
      <w:r w:rsidRPr="001F6AC0">
        <w:rPr>
          <w:u w:val="single"/>
        </w:rPr>
        <w:t>Mesa Lane Beach</w:t>
      </w:r>
      <w:r w:rsidRPr="001F6AC0">
        <w:t>, in Santa Barbara.</w:t>
      </w:r>
    </w:p>
    <w:p w:rsidR="001F6AC0" w:rsidRDefault="001F6AC0" w:rsidP="00626CDC">
      <w:pPr>
        <w:rPr>
          <w:u w:val="single"/>
        </w:rPr>
      </w:pPr>
    </w:p>
    <w:p w:rsidR="001F6AC0" w:rsidRDefault="001F6AC0" w:rsidP="001F6AC0">
      <w:pPr>
        <w:pStyle w:val="ListParagraph"/>
        <w:numPr>
          <w:ilvl w:val="0"/>
          <w:numId w:val="1"/>
        </w:numPr>
      </w:pPr>
      <w:r>
        <w:t>Consideration and possible Conservancy authorization to disburse up to $200,000 to the California State Parks Foundation to produce detailed construction drawings for the structural restoration of</w:t>
      </w:r>
      <w:r w:rsidRPr="00E90209">
        <w:t xml:space="preserve"> the </w:t>
      </w:r>
      <w:r w:rsidRPr="00AC7D3D">
        <w:rPr>
          <w:u w:val="single"/>
        </w:rPr>
        <w:t>Pigeon Point Light Station</w:t>
      </w:r>
      <w:r>
        <w:t xml:space="preserve"> in southern San Mateo County.</w:t>
      </w:r>
    </w:p>
    <w:p w:rsidR="001F6AC0" w:rsidRDefault="001F6AC0" w:rsidP="001F6AC0">
      <w:pPr>
        <w:rPr>
          <w:u w:val="single"/>
        </w:rPr>
      </w:pPr>
    </w:p>
    <w:p w:rsidR="001F6AC0" w:rsidRPr="001F6AC0" w:rsidRDefault="001F6AC0" w:rsidP="00626CDC">
      <w:pPr>
        <w:rPr>
          <w:u w:val="single"/>
        </w:rPr>
      </w:pPr>
    </w:p>
    <w:p w:rsidR="00626CDC" w:rsidRDefault="00626CDC" w:rsidP="00626CDC">
      <w:pPr>
        <w:rPr>
          <w:u w:val="single"/>
        </w:rPr>
      </w:pPr>
      <w:r>
        <w:rPr>
          <w:u w:val="single"/>
        </w:rPr>
        <w:t>SOUTH COAST</w:t>
      </w:r>
    </w:p>
    <w:p w:rsidR="00626CDC" w:rsidRDefault="00626CDC" w:rsidP="00626CDC">
      <w:pPr>
        <w:rPr>
          <w:u w:val="single"/>
        </w:rPr>
      </w:pPr>
    </w:p>
    <w:p w:rsidR="004236A7" w:rsidRDefault="004236A7" w:rsidP="00AC7D3D">
      <w:pPr>
        <w:pStyle w:val="ListParagraph"/>
        <w:numPr>
          <w:ilvl w:val="0"/>
          <w:numId w:val="1"/>
        </w:numPr>
        <w:tabs>
          <w:tab w:val="left" w:pos="0"/>
        </w:tabs>
      </w:pPr>
      <w:r>
        <w:t xml:space="preserve">Consideration and possible Conservancy authorization to disburse an amount </w:t>
      </w:r>
      <w:r w:rsidR="00FB6F2F">
        <w:t xml:space="preserve">up </w:t>
      </w:r>
      <w:r>
        <w:t>to $450,000 to the County of San Diego</w:t>
      </w:r>
      <w:r w:rsidR="00E77278">
        <w:t xml:space="preserve"> for trail construction</w:t>
      </w:r>
      <w:r>
        <w:t xml:space="preserve"> of the </w:t>
      </w:r>
      <w:r w:rsidRPr="00AC7D3D">
        <w:rPr>
          <w:u w:val="single"/>
        </w:rPr>
        <w:t>Tijuana River Valley Trail System</w:t>
      </w:r>
      <w:r w:rsidR="00FB6F2F">
        <w:t>,</w:t>
      </w:r>
      <w:r>
        <w:t xml:space="preserve"> San Diego </w:t>
      </w:r>
      <w:r w:rsidR="00FB6F2F">
        <w:t>C</w:t>
      </w:r>
      <w:r w:rsidR="00253046">
        <w:t>ounty.</w:t>
      </w:r>
    </w:p>
    <w:p w:rsidR="00253046" w:rsidRDefault="00253046" w:rsidP="00253046">
      <w:pPr>
        <w:pStyle w:val="ListParagraph"/>
        <w:tabs>
          <w:tab w:val="left" w:pos="0"/>
        </w:tabs>
        <w:ind w:left="360"/>
      </w:pPr>
    </w:p>
    <w:p w:rsidR="00626CDC" w:rsidRPr="00C0015F" w:rsidRDefault="00626CDC" w:rsidP="00AC7D3D">
      <w:pPr>
        <w:pStyle w:val="ListParagraph"/>
        <w:numPr>
          <w:ilvl w:val="0"/>
          <w:numId w:val="1"/>
        </w:numPr>
        <w:tabs>
          <w:tab w:val="left" w:pos="720"/>
          <w:tab w:val="left" w:pos="1080"/>
        </w:tabs>
      </w:pPr>
      <w:r w:rsidRPr="00C0015F">
        <w:t>Conservancy Member Comments</w:t>
      </w: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p>
    <w:p w:rsidR="00626CDC" w:rsidRDefault="00626CDC" w:rsidP="00626CDC">
      <w:pPr>
        <w:pStyle w:val="PlainText"/>
        <w:tabs>
          <w:tab w:val="left" w:pos="1080"/>
        </w:tabs>
        <w:rPr>
          <w:rFonts w:ascii="Times New Roman" w:hAnsi="Times New Roman" w:cs="Times New Roman"/>
          <w:sz w:val="24"/>
          <w:szCs w:val="24"/>
        </w:rPr>
      </w:pPr>
    </w:p>
    <w:p w:rsidR="00626CDC" w:rsidRPr="00AC0C1F" w:rsidRDefault="00626CDC" w:rsidP="00AC7D3D">
      <w:pPr>
        <w:pStyle w:val="PlainText"/>
        <w:numPr>
          <w:ilvl w:val="0"/>
          <w:numId w:val="1"/>
        </w:numPr>
        <w:tabs>
          <w:tab w:val="left" w:pos="1080"/>
        </w:tabs>
        <w:rPr>
          <w:rFonts w:ascii="Times New Roman" w:hAnsi="Times New Roman" w:cs="Times New Roman"/>
          <w:sz w:val="24"/>
          <w:szCs w:val="24"/>
        </w:rPr>
      </w:pPr>
      <w:r w:rsidRPr="00AC0C1F">
        <w:rPr>
          <w:rFonts w:ascii="Times New Roman" w:hAnsi="Times New Roman" w:cs="Times New Roman"/>
          <w:sz w:val="24"/>
          <w:szCs w:val="24"/>
        </w:rPr>
        <w:t>Public Comment</w:t>
      </w:r>
      <w:r>
        <w:rPr>
          <w:rFonts w:ascii="Times New Roman" w:hAnsi="Times New Roman" w:cs="Times New Roman"/>
          <w:sz w:val="24"/>
          <w:szCs w:val="24"/>
        </w:rPr>
        <w:t xml:space="preserve"> on Non-Agenda Item</w:t>
      </w:r>
      <w:r w:rsidRPr="00AC0C1F">
        <w:rPr>
          <w:rFonts w:ascii="Times New Roman" w:hAnsi="Times New Roman" w:cs="Times New Roman"/>
          <w:sz w:val="24"/>
          <w:szCs w:val="24"/>
        </w:rPr>
        <w:t xml:space="preserve">s </w:t>
      </w:r>
    </w:p>
    <w:p w:rsidR="00626CDC" w:rsidRDefault="00626CDC" w:rsidP="00626CDC">
      <w:pPr>
        <w:pStyle w:val="PlainText"/>
        <w:tabs>
          <w:tab w:val="left" w:pos="360"/>
          <w:tab w:val="left" w:pos="720"/>
          <w:tab w:val="left" w:pos="1080"/>
        </w:tabs>
        <w:rPr>
          <w:rFonts w:ascii="Times New Roman" w:hAnsi="Times New Roman" w:cs="Times New Roman"/>
          <w:sz w:val="24"/>
          <w:szCs w:val="24"/>
        </w:rPr>
      </w:pPr>
    </w:p>
    <w:p w:rsidR="001F6AC0" w:rsidRDefault="001F6AC0" w:rsidP="00626CDC">
      <w:pPr>
        <w:pStyle w:val="PlainText"/>
        <w:tabs>
          <w:tab w:val="left" w:pos="360"/>
          <w:tab w:val="left" w:pos="720"/>
          <w:tab w:val="left" w:pos="1080"/>
        </w:tabs>
        <w:rPr>
          <w:rFonts w:ascii="Times New Roman" w:hAnsi="Times New Roman" w:cs="Times New Roman"/>
          <w:sz w:val="24"/>
          <w:szCs w:val="24"/>
        </w:rPr>
      </w:pPr>
    </w:p>
    <w:p w:rsidR="00626CDC" w:rsidRPr="00AC0C1F" w:rsidRDefault="00626CDC" w:rsidP="00AC7D3D">
      <w:pPr>
        <w:pStyle w:val="PlainText"/>
        <w:numPr>
          <w:ilvl w:val="0"/>
          <w:numId w:val="1"/>
        </w:numPr>
        <w:tabs>
          <w:tab w:val="left" w:pos="0"/>
          <w:tab w:val="left" w:pos="90"/>
          <w:tab w:val="left" w:pos="1080"/>
        </w:tabs>
        <w:rPr>
          <w:rFonts w:ascii="Times New Roman" w:hAnsi="Times New Roman" w:cs="Times New Roman"/>
          <w:sz w:val="24"/>
          <w:szCs w:val="24"/>
        </w:rPr>
      </w:pPr>
      <w:r>
        <w:rPr>
          <w:rFonts w:ascii="Times New Roman" w:hAnsi="Times New Roman" w:cs="Times New Roman"/>
          <w:sz w:val="24"/>
          <w:szCs w:val="24"/>
          <w:u w:val="single"/>
        </w:rPr>
        <w:t>C</w:t>
      </w:r>
      <w:r w:rsidRPr="00AC0C1F">
        <w:rPr>
          <w:rFonts w:ascii="Times New Roman" w:hAnsi="Times New Roman" w:cs="Times New Roman"/>
          <w:sz w:val="24"/>
          <w:szCs w:val="24"/>
          <w:u w:val="single"/>
        </w:rPr>
        <w:t>LOSED SESSION:</w:t>
      </w:r>
    </w:p>
    <w:p w:rsidR="00626CDC" w:rsidRPr="00AC0C1F" w:rsidRDefault="00626CDC" w:rsidP="00626CDC">
      <w:pPr>
        <w:pStyle w:val="PlainText"/>
        <w:tabs>
          <w:tab w:val="left" w:pos="360"/>
          <w:tab w:val="left" w:pos="720"/>
          <w:tab w:val="left" w:pos="1080"/>
        </w:tabs>
        <w:ind w:left="360"/>
        <w:rPr>
          <w:rFonts w:ascii="Times New Roman" w:hAnsi="Times New Roman" w:cs="Times New Roman"/>
          <w:sz w:val="24"/>
          <w:szCs w:val="24"/>
        </w:rPr>
      </w:pPr>
    </w:p>
    <w:p w:rsidR="00626CDC" w:rsidRPr="00AC0C1F" w:rsidRDefault="00626CDC" w:rsidP="00626CDC">
      <w:pPr>
        <w:ind w:left="360"/>
      </w:pPr>
      <w:r w:rsidRPr="00AC0C1F">
        <w:t xml:space="preserve">Possible closed session to confer regarding: </w:t>
      </w:r>
      <w:proofErr w:type="spellStart"/>
      <w:r w:rsidRPr="00AC0C1F">
        <w:rPr>
          <w:i/>
        </w:rPr>
        <w:t>Ackerberg</w:t>
      </w:r>
      <w:proofErr w:type="spellEnd"/>
      <w:r w:rsidRPr="00AC0C1F">
        <w:rPr>
          <w:i/>
        </w:rPr>
        <w:t xml:space="preserve"> v. California Coastal Commission,</w:t>
      </w:r>
      <w:r w:rsidRPr="00AC0C1F">
        <w:t xml:space="preserve"> Los Angeles Superior</w:t>
      </w:r>
      <w:r w:rsidRPr="000A2DD7">
        <w:t xml:space="preserve"> Court Case No. BS1</w:t>
      </w:r>
      <w:r w:rsidRPr="00AC0C1F">
        <w:t xml:space="preserve">22006, and related litigation, including </w:t>
      </w:r>
      <w:r w:rsidRPr="00AC0C1F">
        <w:rPr>
          <w:i/>
        </w:rPr>
        <w:t>Access for All</w:t>
      </w:r>
      <w:r w:rsidRPr="00FE50AD">
        <w:rPr>
          <w:i/>
        </w:rPr>
        <w:t xml:space="preserve"> </w:t>
      </w:r>
      <w:r w:rsidRPr="000A2DD7">
        <w:rPr>
          <w:i/>
        </w:rPr>
        <w:t xml:space="preserve">v. </w:t>
      </w:r>
      <w:proofErr w:type="spellStart"/>
      <w:r w:rsidRPr="000A2DD7">
        <w:rPr>
          <w:i/>
        </w:rPr>
        <w:t>Ackerber</w:t>
      </w:r>
      <w:r w:rsidRPr="00AC0C1F">
        <w:rPr>
          <w:i/>
        </w:rPr>
        <w:t>g</w:t>
      </w:r>
      <w:proofErr w:type="spellEnd"/>
      <w:r w:rsidRPr="00AC0C1F">
        <w:rPr>
          <w:i/>
        </w:rPr>
        <w:t xml:space="preserve">, </w:t>
      </w:r>
      <w:r w:rsidRPr="00AC0C1F">
        <w:t xml:space="preserve">Los Angeles Superior Court Case No. </w:t>
      </w:r>
      <w:r w:rsidRPr="00AC0C1F">
        <w:rPr>
          <w:bCs/>
        </w:rPr>
        <w:t>BC405058;</w:t>
      </w:r>
      <w:r>
        <w:rPr>
          <w:bCs/>
        </w:rPr>
        <w:t xml:space="preserve"> </w:t>
      </w:r>
      <w:r>
        <w:rPr>
          <w:i/>
          <w:iCs/>
        </w:rPr>
        <w:t>Laguna Terrace Park, LLC v. California Coastal Commission</w:t>
      </w:r>
      <w:r>
        <w:t>, Orange County Superior Court Case No. 30-2011 00528322;</w:t>
      </w:r>
      <w:r w:rsidRPr="00AC0C1F">
        <w:t xml:space="preserve"> </w:t>
      </w:r>
      <w:r w:rsidRPr="00AC0C1F">
        <w:rPr>
          <w:i/>
        </w:rPr>
        <w:t>Malibu-</w:t>
      </w:r>
      <w:proofErr w:type="spellStart"/>
      <w:r w:rsidRPr="00AC0C1F">
        <w:rPr>
          <w:i/>
        </w:rPr>
        <w:t>Encinal</w:t>
      </w:r>
      <w:proofErr w:type="spellEnd"/>
      <w:r w:rsidRPr="00AC0C1F">
        <w:rPr>
          <w:i/>
        </w:rPr>
        <w:t xml:space="preserve"> Homeowners Association v. Mountains Recreation and Conservation Authority, et al, </w:t>
      </w:r>
      <w:r w:rsidRPr="00AC0C1F">
        <w:t xml:space="preserve">Los Angeles County Superior Court, Case No. BS 431798; </w:t>
      </w:r>
      <w:r w:rsidRPr="00AC0C1F">
        <w:rPr>
          <w:i/>
          <w:iCs/>
        </w:rPr>
        <w:t>United States of America v. 127.60 Acres of Land, more or less, situated in San Diego County, State of California,</w:t>
      </w:r>
      <w:r w:rsidRPr="00AC0C1F">
        <w:t xml:space="preserve"> U.S. District Court, Southern District of California, Civil No. 06CV1670W NLS; </w:t>
      </w:r>
      <w:r>
        <w:rPr>
          <w:i/>
        </w:rPr>
        <w:t xml:space="preserve">Wildman </w:t>
      </w:r>
      <w:r w:rsidRPr="00AC0C1F">
        <w:rPr>
          <w:i/>
        </w:rPr>
        <w:t>v. California Coastal Commission,</w:t>
      </w:r>
      <w:r w:rsidRPr="00AC0C1F">
        <w:t xml:space="preserve"> Los Angeles Superior</w:t>
      </w:r>
      <w:r w:rsidRPr="000A2DD7">
        <w:t xml:space="preserve"> Court Case No.</w:t>
      </w:r>
      <w:r>
        <w:t xml:space="preserve"> SC111748;</w:t>
      </w:r>
      <w:r w:rsidRPr="000A2DD7">
        <w:t xml:space="preserve"> </w:t>
      </w:r>
      <w:r w:rsidRPr="00AC0C1F">
        <w:t>and other pending litigation; and/or to consider the initiation of litigation.  Session will be closed to the public pursuant to Government Code Section 11126(e).</w:t>
      </w:r>
    </w:p>
    <w:p w:rsidR="00626CDC" w:rsidRPr="00AC0C1F" w:rsidRDefault="00626CDC" w:rsidP="00626CDC">
      <w:pPr>
        <w:pStyle w:val="PlainText"/>
        <w:tabs>
          <w:tab w:val="left" w:pos="-90"/>
          <w:tab w:val="left" w:pos="270"/>
          <w:tab w:val="left" w:pos="360"/>
          <w:tab w:val="left" w:pos="720"/>
          <w:tab w:val="left" w:pos="1080"/>
        </w:tabs>
        <w:ind w:hanging="450"/>
        <w:rPr>
          <w:rFonts w:ascii="Times New Roman" w:hAnsi="Times New Roman" w:cs="Times New Roman"/>
          <w:sz w:val="24"/>
          <w:szCs w:val="24"/>
        </w:rPr>
      </w:pPr>
    </w:p>
    <w:p w:rsidR="00626CDC" w:rsidRDefault="00626CDC" w:rsidP="00626CDC">
      <w:pPr>
        <w:pStyle w:val="PlainText"/>
        <w:tabs>
          <w:tab w:val="left" w:pos="0"/>
          <w:tab w:val="left" w:pos="270"/>
          <w:tab w:val="left" w:pos="360"/>
          <w:tab w:val="left" w:pos="450"/>
          <w:tab w:val="left" w:pos="720"/>
          <w:tab w:val="left" w:pos="1080"/>
        </w:tabs>
        <w:rPr>
          <w:rFonts w:ascii="Times New Roman" w:hAnsi="Times New Roman" w:cs="Times New Roman"/>
          <w:sz w:val="24"/>
          <w:szCs w:val="24"/>
        </w:rPr>
      </w:pPr>
    </w:p>
    <w:p w:rsidR="00626CDC" w:rsidRDefault="00626CDC" w:rsidP="00AC7D3D">
      <w:pPr>
        <w:pStyle w:val="PlainText"/>
        <w:numPr>
          <w:ilvl w:val="0"/>
          <w:numId w:val="1"/>
        </w:numPr>
        <w:tabs>
          <w:tab w:val="left" w:pos="0"/>
          <w:tab w:val="left" w:pos="270"/>
          <w:tab w:val="left" w:pos="450"/>
          <w:tab w:val="left" w:pos="720"/>
          <w:tab w:val="left" w:pos="1080"/>
        </w:tabs>
        <w:rPr>
          <w:rFonts w:ascii="Times New Roman" w:hAnsi="Times New Roman" w:cs="Times New Roman"/>
          <w:sz w:val="24"/>
          <w:szCs w:val="24"/>
        </w:rPr>
      </w:pPr>
      <w:r w:rsidRPr="00AC0C1F">
        <w:rPr>
          <w:rFonts w:ascii="Times New Roman" w:hAnsi="Times New Roman" w:cs="Times New Roman"/>
          <w:sz w:val="24"/>
          <w:szCs w:val="24"/>
        </w:rPr>
        <w:t xml:space="preserve">Adjournment </w:t>
      </w:r>
    </w:p>
    <w:p w:rsidR="00626CDC" w:rsidRDefault="00626CDC" w:rsidP="00626CDC">
      <w:pPr>
        <w:pStyle w:val="PlainText"/>
        <w:tabs>
          <w:tab w:val="left" w:pos="0"/>
          <w:tab w:val="left" w:pos="270"/>
          <w:tab w:val="left" w:pos="450"/>
          <w:tab w:val="left" w:pos="720"/>
          <w:tab w:val="left" w:pos="1080"/>
        </w:tabs>
        <w:ind w:left="360"/>
        <w:rPr>
          <w:rFonts w:ascii="Times New Roman" w:hAnsi="Times New Roman" w:cs="Times New Roman"/>
          <w:sz w:val="24"/>
          <w:szCs w:val="24"/>
        </w:rPr>
      </w:pPr>
    </w:p>
    <w:p w:rsidR="00626CDC" w:rsidRDefault="00626CDC" w:rsidP="00626CDC">
      <w:pPr>
        <w:pStyle w:val="PlainText"/>
        <w:tabs>
          <w:tab w:val="left" w:pos="0"/>
          <w:tab w:val="left" w:pos="270"/>
          <w:tab w:val="left" w:pos="450"/>
          <w:tab w:val="left" w:pos="720"/>
          <w:tab w:val="left" w:pos="1080"/>
        </w:tabs>
        <w:ind w:left="360"/>
        <w:rPr>
          <w:rFonts w:ascii="Times New Roman" w:hAnsi="Times New Roman" w:cs="Times New Roman"/>
          <w:sz w:val="24"/>
          <w:szCs w:val="24"/>
        </w:rPr>
      </w:pPr>
    </w:p>
    <w:p w:rsidR="00626CDC" w:rsidRDefault="00626CDC" w:rsidP="00626CDC">
      <w:pPr>
        <w:pStyle w:val="PlainText"/>
        <w:tabs>
          <w:tab w:val="left" w:pos="0"/>
          <w:tab w:val="left" w:pos="270"/>
          <w:tab w:val="left" w:pos="450"/>
          <w:tab w:val="left" w:pos="720"/>
          <w:tab w:val="left" w:pos="1080"/>
        </w:tabs>
        <w:ind w:left="360"/>
        <w:rPr>
          <w:rFonts w:ascii="Times New Roman" w:hAnsi="Times New Roman" w:cs="Times New Roman"/>
          <w:sz w:val="24"/>
          <w:szCs w:val="24"/>
        </w:rPr>
      </w:pPr>
    </w:p>
    <w:p w:rsidR="00626CDC" w:rsidRDefault="00626CDC" w:rsidP="00626CDC">
      <w:pPr>
        <w:pStyle w:val="PlainText"/>
        <w:tabs>
          <w:tab w:val="left" w:pos="360"/>
          <w:tab w:val="left" w:pos="720"/>
          <w:tab w:val="left" w:pos="1080"/>
        </w:tabs>
        <w:rPr>
          <w:rFonts w:ascii="Times New Roman" w:hAnsi="Times New Roman" w:cs="Times New Roman"/>
          <w:sz w:val="24"/>
          <w:szCs w:val="24"/>
        </w:rPr>
      </w:pPr>
      <w:r w:rsidRPr="00AC0C1F">
        <w:rPr>
          <w:rFonts w:ascii="Times New Roman" w:hAnsi="Times New Roman" w:cs="Times New Roman"/>
          <w:sz w:val="24"/>
          <w:szCs w:val="24"/>
        </w:rPr>
        <w:t>This Meeting Notice and Agenda may be found a</w:t>
      </w:r>
      <w:r>
        <w:rPr>
          <w:rFonts w:ascii="Times New Roman" w:hAnsi="Times New Roman" w:cs="Times New Roman"/>
          <w:sz w:val="24"/>
          <w:szCs w:val="24"/>
        </w:rPr>
        <w:t xml:space="preserve">t </w:t>
      </w:r>
      <w:hyperlink r:id="rId9" w:history="1">
        <w:r w:rsidRPr="00D10FAA">
          <w:rPr>
            <w:rStyle w:val="Hyperlink"/>
            <w:rFonts w:ascii="Times New Roman" w:hAnsi="Times New Roman" w:cs="Times New Roman"/>
          </w:rPr>
          <w:t>http://scc.ca.gov</w:t>
        </w:r>
      </w:hyperlink>
      <w:r>
        <w:rPr>
          <w:rFonts w:ascii="Times New Roman" w:hAnsi="Times New Roman" w:cs="Times New Roman"/>
          <w:sz w:val="24"/>
          <w:szCs w:val="24"/>
        </w:rPr>
        <w:t xml:space="preserve">  </w:t>
      </w:r>
      <w:r w:rsidRPr="00AC0C1F">
        <w:rPr>
          <w:rFonts w:ascii="Times New Roman" w:hAnsi="Times New Roman" w:cs="Times New Roman"/>
          <w:sz w:val="24"/>
          <w:szCs w:val="24"/>
        </w:rPr>
        <w:t xml:space="preserve">under </w:t>
      </w:r>
      <w:r>
        <w:rPr>
          <w:rFonts w:ascii="Times New Roman" w:hAnsi="Times New Roman" w:cs="Times New Roman"/>
          <w:sz w:val="24"/>
          <w:szCs w:val="24"/>
        </w:rPr>
        <w:t>Quick Links, P</w:t>
      </w:r>
      <w:r w:rsidRPr="00AC0C1F">
        <w:rPr>
          <w:rFonts w:ascii="Times New Roman" w:hAnsi="Times New Roman" w:cs="Times New Roman"/>
          <w:sz w:val="24"/>
          <w:szCs w:val="24"/>
        </w:rPr>
        <w:t>ublic</w:t>
      </w:r>
      <w:r>
        <w:rPr>
          <w:rFonts w:ascii="Times New Roman" w:hAnsi="Times New Roman" w:cs="Times New Roman"/>
          <w:sz w:val="24"/>
          <w:szCs w:val="24"/>
        </w:rPr>
        <w:t xml:space="preserve"> M</w:t>
      </w:r>
      <w:r w:rsidRPr="00AC0C1F">
        <w:rPr>
          <w:rFonts w:ascii="Times New Roman" w:hAnsi="Times New Roman" w:cs="Times New Roman"/>
          <w:sz w:val="24"/>
          <w:szCs w:val="24"/>
        </w:rPr>
        <w:t>eeting</w:t>
      </w:r>
      <w:r>
        <w:rPr>
          <w:rFonts w:ascii="Times New Roman" w:hAnsi="Times New Roman" w:cs="Times New Roman"/>
          <w:sz w:val="24"/>
          <w:szCs w:val="24"/>
        </w:rPr>
        <w:t xml:space="preserve"> Notices.</w:t>
      </w: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p>
    <w:p w:rsidR="00626CDC" w:rsidRPr="00AC0C1F" w:rsidRDefault="00626CDC" w:rsidP="00626CDC">
      <w:pPr>
        <w:pStyle w:val="PlainText"/>
        <w:tabs>
          <w:tab w:val="left" w:pos="360"/>
          <w:tab w:val="left" w:pos="720"/>
          <w:tab w:val="left" w:pos="1080"/>
        </w:tabs>
        <w:ind w:left="360" w:hanging="360"/>
        <w:rPr>
          <w:rFonts w:ascii="Times New Roman" w:hAnsi="Times New Roman" w:cs="Times New Roman"/>
          <w:sz w:val="24"/>
          <w:szCs w:val="24"/>
        </w:rPr>
      </w:pPr>
    </w:p>
    <w:p w:rsidR="00626CDC" w:rsidRDefault="00626CDC" w:rsidP="00626CDC">
      <w:pPr>
        <w:pStyle w:val="PlainText"/>
        <w:tabs>
          <w:tab w:val="left" w:pos="360"/>
          <w:tab w:val="left" w:pos="720"/>
          <w:tab w:val="left" w:pos="1080"/>
        </w:tabs>
        <w:ind w:left="720" w:hanging="720"/>
        <w:rPr>
          <w:rFonts w:ascii="Times New Roman" w:hAnsi="Times New Roman" w:cs="Times New Roman"/>
          <w:sz w:val="24"/>
          <w:szCs w:val="24"/>
        </w:rPr>
      </w:pPr>
      <w:r w:rsidRPr="00AC0C1F">
        <w:rPr>
          <w:rFonts w:ascii="Times New Roman" w:hAnsi="Times New Roman" w:cs="Times New Roman"/>
          <w:sz w:val="24"/>
          <w:szCs w:val="24"/>
        </w:rPr>
        <w:t>N.B.:  </w:t>
      </w:r>
      <w:r w:rsidRPr="00AC0C1F">
        <w:rPr>
          <w:rFonts w:ascii="Times New Roman" w:hAnsi="Times New Roman" w:cs="Times New Roman"/>
          <w:sz w:val="24"/>
          <w:szCs w:val="24"/>
        </w:rPr>
        <w:tab/>
      </w:r>
      <w:r>
        <w:rPr>
          <w:rFonts w:ascii="Times New Roman" w:hAnsi="Times New Roman" w:cs="Times New Roman"/>
          <w:sz w:val="24"/>
          <w:szCs w:val="24"/>
        </w:rPr>
        <w:t xml:space="preserve">Agenda items may be taken out sequence at the discretion of the Board.  </w:t>
      </w:r>
      <w:r w:rsidRPr="00AC0C1F">
        <w:rPr>
          <w:rFonts w:ascii="Times New Roman" w:hAnsi="Times New Roman" w:cs="Times New Roman"/>
          <w:sz w:val="24"/>
          <w:szCs w:val="24"/>
        </w:rPr>
        <w:t>At any time during the meeting, but prior to the adjournment of the open session of the meeting, the Conservancy may recess or adjourn to closed session to consider personnel matters, prices and terms of real estate transactions, and possible and pending litigation.  Session will be closed to the public pursuant to attorney-client privilege and statutory authorization under Government Code Section 11126(a), (c)(7), and (e).</w:t>
      </w:r>
    </w:p>
    <w:p w:rsidR="00626CDC" w:rsidRDefault="00626CDC" w:rsidP="00626CDC">
      <w:pPr>
        <w:pStyle w:val="PlainText"/>
        <w:tabs>
          <w:tab w:val="left" w:pos="360"/>
          <w:tab w:val="left" w:pos="720"/>
          <w:tab w:val="left" w:pos="1080"/>
        </w:tabs>
        <w:ind w:left="720" w:hanging="720"/>
        <w:rPr>
          <w:rFonts w:ascii="Times New Roman" w:hAnsi="Times New Roman" w:cs="Times New Roman"/>
          <w:sz w:val="24"/>
          <w:szCs w:val="24"/>
        </w:rPr>
      </w:pPr>
    </w:p>
    <w:p w:rsidR="00626CDC" w:rsidRPr="00AC0C1F" w:rsidRDefault="00626CDC" w:rsidP="00626CDC">
      <w:pPr>
        <w:pStyle w:val="PlainText"/>
        <w:tabs>
          <w:tab w:val="left" w:pos="360"/>
          <w:tab w:val="left" w:pos="720"/>
          <w:tab w:val="left" w:pos="1080"/>
        </w:tabs>
        <w:ind w:left="720" w:hanging="720"/>
        <w:rPr>
          <w:rFonts w:ascii="Times New Roman" w:hAnsi="Times New Roman" w:cs="Times New Roman"/>
          <w:sz w:val="24"/>
          <w:szCs w:val="24"/>
        </w:rPr>
      </w:pPr>
    </w:p>
    <w:p w:rsidR="00626CDC" w:rsidRPr="00AC0C1F" w:rsidRDefault="00626CDC" w:rsidP="00626CDC">
      <w:pPr>
        <w:tabs>
          <w:tab w:val="left" w:pos="360"/>
          <w:tab w:val="left" w:pos="720"/>
          <w:tab w:val="left" w:pos="1080"/>
        </w:tabs>
      </w:pPr>
      <w:r w:rsidRPr="00AC0C1F">
        <w:t xml:space="preserve">Questions about the meeting or agenda can be directed to Dick Wayman at (510) 286-4182 or </w:t>
      </w:r>
      <w:hyperlink r:id="rId10" w:history="1">
        <w:r w:rsidRPr="00AC0C1F">
          <w:rPr>
            <w:rStyle w:val="Hyperlink"/>
            <w:rFonts w:eastAsia="Arial Unicode MS"/>
          </w:rPr>
          <w:t>dwayman@scc.ca.gov</w:t>
        </w:r>
      </w:hyperlink>
      <w:r>
        <w:t xml:space="preserve"> </w:t>
      </w:r>
      <w:r w:rsidRPr="00AC0C1F">
        <w:t xml:space="preserve"> or at the Conservancy:</w:t>
      </w:r>
      <w:r>
        <w:t xml:space="preserve">  1</w:t>
      </w:r>
      <w:r w:rsidRPr="00AC0C1F">
        <w:t>330 Broadway, 13th Floor</w:t>
      </w:r>
    </w:p>
    <w:p w:rsidR="00626CDC" w:rsidRDefault="00626CDC" w:rsidP="00626CDC">
      <w:pPr>
        <w:pStyle w:val="PlainText"/>
        <w:tabs>
          <w:tab w:val="left" w:pos="360"/>
          <w:tab w:val="left" w:pos="720"/>
          <w:tab w:val="left" w:pos="1080"/>
        </w:tabs>
        <w:rPr>
          <w:rFonts w:ascii="Times New Roman" w:hAnsi="Times New Roman" w:cs="Times New Roman"/>
          <w:sz w:val="24"/>
          <w:szCs w:val="24"/>
        </w:rPr>
      </w:pPr>
      <w:r w:rsidRPr="00AC0C1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AC0C1F">
        <w:rPr>
          <w:rFonts w:ascii="Times New Roman" w:hAnsi="Times New Roman" w:cs="Times New Roman"/>
          <w:sz w:val="24"/>
          <w:szCs w:val="24"/>
        </w:rPr>
        <w:t>Oakland, CA 94612</w:t>
      </w:r>
    </w:p>
    <w:p w:rsidR="00626CDC" w:rsidRPr="00AC0C1F" w:rsidRDefault="00626CDC" w:rsidP="00626CDC">
      <w:pPr>
        <w:pStyle w:val="PlainText"/>
        <w:tabs>
          <w:tab w:val="left" w:pos="360"/>
          <w:tab w:val="left" w:pos="720"/>
          <w:tab w:val="left" w:pos="1080"/>
        </w:tabs>
        <w:rPr>
          <w:rFonts w:ascii="Times New Roman" w:hAnsi="Times New Roman" w:cs="Times New Roman"/>
          <w:sz w:val="24"/>
          <w:szCs w:val="24"/>
        </w:rPr>
      </w:pPr>
    </w:p>
    <w:p w:rsidR="00626CDC" w:rsidRPr="008B5217" w:rsidRDefault="00626CDC" w:rsidP="00626CDC">
      <w:pPr>
        <w:tabs>
          <w:tab w:val="left" w:pos="360"/>
          <w:tab w:val="left" w:pos="720"/>
          <w:tab w:val="left" w:pos="1080"/>
        </w:tabs>
        <w:rPr>
          <w:u w:val="single"/>
        </w:rPr>
      </w:pPr>
      <w:r w:rsidRPr="00890D96">
        <w:t xml:space="preserve">Any person who has a disability and requires reasonable accommodation to participate in this </w:t>
      </w:r>
      <w:r>
        <w:t xml:space="preserve">public </w:t>
      </w:r>
      <w:r w:rsidRPr="00890D96">
        <w:t>meeting should contact Mr. Wayman no later than five days prior to meeting.</w:t>
      </w:r>
    </w:p>
    <w:p w:rsidR="00626CDC" w:rsidRPr="00626CDC" w:rsidRDefault="00626CDC" w:rsidP="00626CDC"/>
    <w:sectPr w:rsidR="00626CDC" w:rsidRPr="00626CDC" w:rsidSect="0066441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DC" w:rsidRDefault="00626CDC" w:rsidP="00626CDC">
      <w:r>
        <w:separator/>
      </w:r>
    </w:p>
  </w:endnote>
  <w:endnote w:type="continuationSeparator" w:id="0">
    <w:p w:rsidR="00626CDC" w:rsidRDefault="00626CDC" w:rsidP="0062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9077"/>
      <w:docPartObj>
        <w:docPartGallery w:val="Page Numbers (Bottom of Page)"/>
        <w:docPartUnique/>
      </w:docPartObj>
    </w:sdtPr>
    <w:sdtEndPr/>
    <w:sdtContent>
      <w:p w:rsidR="00626CDC" w:rsidRDefault="00B9173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26CDC" w:rsidRDefault="00626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DC" w:rsidRDefault="00626CDC" w:rsidP="00626CDC">
      <w:r>
        <w:separator/>
      </w:r>
    </w:p>
  </w:footnote>
  <w:footnote w:type="continuationSeparator" w:id="0">
    <w:p w:rsidR="00626CDC" w:rsidRDefault="00626CDC" w:rsidP="00626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DC" w:rsidRDefault="00626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0AFB"/>
    <w:multiLevelType w:val="hybridMultilevel"/>
    <w:tmpl w:val="A5C62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B5FB2"/>
    <w:multiLevelType w:val="hybridMultilevel"/>
    <w:tmpl w:val="D1A422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938CC"/>
    <w:multiLevelType w:val="hybridMultilevel"/>
    <w:tmpl w:val="53B23382"/>
    <w:lvl w:ilvl="0" w:tplc="5276F48A">
      <w:start w:val="2"/>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DC"/>
    <w:rsid w:val="0002269D"/>
    <w:rsid w:val="0002632D"/>
    <w:rsid w:val="00066A8F"/>
    <w:rsid w:val="00085185"/>
    <w:rsid w:val="001154A4"/>
    <w:rsid w:val="0013167E"/>
    <w:rsid w:val="001605AC"/>
    <w:rsid w:val="001846DB"/>
    <w:rsid w:val="001E621D"/>
    <w:rsid w:val="001F6AC0"/>
    <w:rsid w:val="00200BDB"/>
    <w:rsid w:val="0025049A"/>
    <w:rsid w:val="00253046"/>
    <w:rsid w:val="0033466B"/>
    <w:rsid w:val="00347102"/>
    <w:rsid w:val="003C4496"/>
    <w:rsid w:val="003E12AB"/>
    <w:rsid w:val="004236A7"/>
    <w:rsid w:val="004421BA"/>
    <w:rsid w:val="00463DDF"/>
    <w:rsid w:val="0051053B"/>
    <w:rsid w:val="0052003E"/>
    <w:rsid w:val="005A6F3F"/>
    <w:rsid w:val="005C5159"/>
    <w:rsid w:val="005C66C7"/>
    <w:rsid w:val="005E1A13"/>
    <w:rsid w:val="00605AAF"/>
    <w:rsid w:val="00610C7D"/>
    <w:rsid w:val="00626CDC"/>
    <w:rsid w:val="0066441E"/>
    <w:rsid w:val="00664C76"/>
    <w:rsid w:val="00703162"/>
    <w:rsid w:val="007149AA"/>
    <w:rsid w:val="007D50BD"/>
    <w:rsid w:val="00875C23"/>
    <w:rsid w:val="008827AD"/>
    <w:rsid w:val="00893049"/>
    <w:rsid w:val="00930BBD"/>
    <w:rsid w:val="009874E6"/>
    <w:rsid w:val="009E627A"/>
    <w:rsid w:val="00A26D2F"/>
    <w:rsid w:val="00A649A1"/>
    <w:rsid w:val="00AC7D3D"/>
    <w:rsid w:val="00AD1C5C"/>
    <w:rsid w:val="00AE1279"/>
    <w:rsid w:val="00AF3EF1"/>
    <w:rsid w:val="00B11309"/>
    <w:rsid w:val="00B56B91"/>
    <w:rsid w:val="00B91737"/>
    <w:rsid w:val="00BE36AE"/>
    <w:rsid w:val="00C45B8F"/>
    <w:rsid w:val="00DC003E"/>
    <w:rsid w:val="00DD19E2"/>
    <w:rsid w:val="00DE565D"/>
    <w:rsid w:val="00DE6E44"/>
    <w:rsid w:val="00E017F2"/>
    <w:rsid w:val="00E47EBA"/>
    <w:rsid w:val="00E77278"/>
    <w:rsid w:val="00E80D88"/>
    <w:rsid w:val="00E85053"/>
    <w:rsid w:val="00E86927"/>
    <w:rsid w:val="00E90209"/>
    <w:rsid w:val="00EC5ACE"/>
    <w:rsid w:val="00F35F2B"/>
    <w:rsid w:val="00F57ACD"/>
    <w:rsid w:val="00F74644"/>
    <w:rsid w:val="00FB6F2F"/>
    <w:rsid w:val="00FF0AA6"/>
    <w:rsid w:val="00FF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26CDC"/>
    <w:pPr>
      <w:keepNext/>
      <w:tabs>
        <w:tab w:val="center" w:pos="4680"/>
      </w:tabs>
      <w:spacing w:after="240"/>
      <w:ind w:left="720"/>
      <w:jc w:val="center"/>
      <w:outlineLvl w:val="1"/>
    </w:pPr>
    <w:rPr>
      <w:rFonts w:eastAsia="Arial Unicode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26CDC"/>
    <w:rPr>
      <w:rFonts w:ascii="Times New Roman" w:eastAsia="Arial Unicode MS" w:hAnsi="Times New Roman" w:cs="Times New Roman"/>
      <w:b/>
      <w:sz w:val="24"/>
      <w:szCs w:val="24"/>
      <w:u w:val="single"/>
    </w:rPr>
  </w:style>
  <w:style w:type="paragraph" w:styleId="PlainText">
    <w:name w:val="Plain Text"/>
    <w:basedOn w:val="Normal"/>
    <w:link w:val="PlainTextChar"/>
    <w:uiPriority w:val="99"/>
    <w:unhideWhenUsed/>
    <w:rsid w:val="00626CDC"/>
    <w:rPr>
      <w:rFonts w:ascii="Courier New" w:hAnsi="Courier New" w:cs="Courier New"/>
      <w:sz w:val="20"/>
      <w:szCs w:val="20"/>
    </w:rPr>
  </w:style>
  <w:style w:type="character" w:customStyle="1" w:styleId="PlainTextChar">
    <w:name w:val="Plain Text Char"/>
    <w:basedOn w:val="DefaultParagraphFont"/>
    <w:link w:val="PlainText"/>
    <w:uiPriority w:val="99"/>
    <w:rsid w:val="00626CDC"/>
    <w:rPr>
      <w:rFonts w:ascii="Courier New" w:eastAsia="Times New Roman" w:hAnsi="Courier New" w:cs="Courier New"/>
      <w:sz w:val="20"/>
      <w:szCs w:val="20"/>
    </w:rPr>
  </w:style>
  <w:style w:type="paragraph" w:styleId="ListParagraph">
    <w:name w:val="List Paragraph"/>
    <w:basedOn w:val="Normal"/>
    <w:uiPriority w:val="34"/>
    <w:qFormat/>
    <w:rsid w:val="00626CDC"/>
    <w:pPr>
      <w:ind w:left="720"/>
      <w:contextualSpacing/>
    </w:pPr>
  </w:style>
  <w:style w:type="paragraph" w:styleId="BalloonText">
    <w:name w:val="Balloon Text"/>
    <w:basedOn w:val="Normal"/>
    <w:link w:val="BalloonTextChar"/>
    <w:uiPriority w:val="99"/>
    <w:semiHidden/>
    <w:unhideWhenUsed/>
    <w:rsid w:val="00626CDC"/>
    <w:rPr>
      <w:rFonts w:ascii="Tahoma" w:hAnsi="Tahoma" w:cs="Tahoma"/>
      <w:sz w:val="16"/>
      <w:szCs w:val="16"/>
    </w:rPr>
  </w:style>
  <w:style w:type="character" w:customStyle="1" w:styleId="BalloonTextChar">
    <w:name w:val="Balloon Text Char"/>
    <w:basedOn w:val="DefaultParagraphFont"/>
    <w:link w:val="BalloonText"/>
    <w:uiPriority w:val="99"/>
    <w:semiHidden/>
    <w:rsid w:val="00626CDC"/>
    <w:rPr>
      <w:rFonts w:ascii="Tahoma" w:eastAsia="Times New Roman" w:hAnsi="Tahoma" w:cs="Tahoma"/>
      <w:sz w:val="16"/>
      <w:szCs w:val="16"/>
    </w:rPr>
  </w:style>
  <w:style w:type="paragraph" w:styleId="Header">
    <w:name w:val="header"/>
    <w:basedOn w:val="Normal"/>
    <w:link w:val="HeaderChar"/>
    <w:uiPriority w:val="99"/>
    <w:unhideWhenUsed/>
    <w:rsid w:val="00626CDC"/>
    <w:pPr>
      <w:tabs>
        <w:tab w:val="center" w:pos="4680"/>
        <w:tab w:val="right" w:pos="9360"/>
      </w:tabs>
    </w:pPr>
  </w:style>
  <w:style w:type="character" w:customStyle="1" w:styleId="HeaderChar">
    <w:name w:val="Header Char"/>
    <w:basedOn w:val="DefaultParagraphFont"/>
    <w:link w:val="Header"/>
    <w:uiPriority w:val="99"/>
    <w:rsid w:val="00626C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6CDC"/>
    <w:pPr>
      <w:tabs>
        <w:tab w:val="center" w:pos="4680"/>
        <w:tab w:val="right" w:pos="9360"/>
      </w:tabs>
    </w:pPr>
  </w:style>
  <w:style w:type="character" w:customStyle="1" w:styleId="FooterChar">
    <w:name w:val="Footer Char"/>
    <w:basedOn w:val="DefaultParagraphFont"/>
    <w:link w:val="Footer"/>
    <w:uiPriority w:val="99"/>
    <w:rsid w:val="00626CDC"/>
    <w:rPr>
      <w:rFonts w:ascii="Times New Roman" w:eastAsia="Times New Roman" w:hAnsi="Times New Roman" w:cs="Times New Roman"/>
      <w:sz w:val="24"/>
      <w:szCs w:val="24"/>
    </w:rPr>
  </w:style>
  <w:style w:type="character" w:styleId="Hyperlink">
    <w:name w:val="Hyperlink"/>
    <w:basedOn w:val="DefaultParagraphFont"/>
    <w:rsid w:val="00626CDC"/>
    <w:rPr>
      <w:color w:val="0000FF"/>
      <w:u w:val="single"/>
    </w:rPr>
  </w:style>
  <w:style w:type="paragraph" w:customStyle="1" w:styleId="Default">
    <w:name w:val="Default"/>
    <w:basedOn w:val="Normal"/>
    <w:rsid w:val="00AF3EF1"/>
    <w:pPr>
      <w:autoSpaceDE w:val="0"/>
      <w:autoSpaceDN w:val="0"/>
    </w:pPr>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D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626CDC"/>
    <w:pPr>
      <w:keepNext/>
      <w:tabs>
        <w:tab w:val="center" w:pos="4680"/>
      </w:tabs>
      <w:spacing w:after="240"/>
      <w:ind w:left="720"/>
      <w:jc w:val="center"/>
      <w:outlineLvl w:val="1"/>
    </w:pPr>
    <w:rPr>
      <w:rFonts w:eastAsia="Arial Unicode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26CDC"/>
    <w:rPr>
      <w:rFonts w:ascii="Times New Roman" w:eastAsia="Arial Unicode MS" w:hAnsi="Times New Roman" w:cs="Times New Roman"/>
      <w:b/>
      <w:sz w:val="24"/>
      <w:szCs w:val="24"/>
      <w:u w:val="single"/>
    </w:rPr>
  </w:style>
  <w:style w:type="paragraph" w:styleId="PlainText">
    <w:name w:val="Plain Text"/>
    <w:basedOn w:val="Normal"/>
    <w:link w:val="PlainTextChar"/>
    <w:uiPriority w:val="99"/>
    <w:unhideWhenUsed/>
    <w:rsid w:val="00626CDC"/>
    <w:rPr>
      <w:rFonts w:ascii="Courier New" w:hAnsi="Courier New" w:cs="Courier New"/>
      <w:sz w:val="20"/>
      <w:szCs w:val="20"/>
    </w:rPr>
  </w:style>
  <w:style w:type="character" w:customStyle="1" w:styleId="PlainTextChar">
    <w:name w:val="Plain Text Char"/>
    <w:basedOn w:val="DefaultParagraphFont"/>
    <w:link w:val="PlainText"/>
    <w:uiPriority w:val="99"/>
    <w:rsid w:val="00626CDC"/>
    <w:rPr>
      <w:rFonts w:ascii="Courier New" w:eastAsia="Times New Roman" w:hAnsi="Courier New" w:cs="Courier New"/>
      <w:sz w:val="20"/>
      <w:szCs w:val="20"/>
    </w:rPr>
  </w:style>
  <w:style w:type="paragraph" w:styleId="ListParagraph">
    <w:name w:val="List Paragraph"/>
    <w:basedOn w:val="Normal"/>
    <w:uiPriority w:val="34"/>
    <w:qFormat/>
    <w:rsid w:val="00626CDC"/>
    <w:pPr>
      <w:ind w:left="720"/>
      <w:contextualSpacing/>
    </w:pPr>
  </w:style>
  <w:style w:type="paragraph" w:styleId="BalloonText">
    <w:name w:val="Balloon Text"/>
    <w:basedOn w:val="Normal"/>
    <w:link w:val="BalloonTextChar"/>
    <w:uiPriority w:val="99"/>
    <w:semiHidden/>
    <w:unhideWhenUsed/>
    <w:rsid w:val="00626CDC"/>
    <w:rPr>
      <w:rFonts w:ascii="Tahoma" w:hAnsi="Tahoma" w:cs="Tahoma"/>
      <w:sz w:val="16"/>
      <w:szCs w:val="16"/>
    </w:rPr>
  </w:style>
  <w:style w:type="character" w:customStyle="1" w:styleId="BalloonTextChar">
    <w:name w:val="Balloon Text Char"/>
    <w:basedOn w:val="DefaultParagraphFont"/>
    <w:link w:val="BalloonText"/>
    <w:uiPriority w:val="99"/>
    <w:semiHidden/>
    <w:rsid w:val="00626CDC"/>
    <w:rPr>
      <w:rFonts w:ascii="Tahoma" w:eastAsia="Times New Roman" w:hAnsi="Tahoma" w:cs="Tahoma"/>
      <w:sz w:val="16"/>
      <w:szCs w:val="16"/>
    </w:rPr>
  </w:style>
  <w:style w:type="paragraph" w:styleId="Header">
    <w:name w:val="header"/>
    <w:basedOn w:val="Normal"/>
    <w:link w:val="HeaderChar"/>
    <w:uiPriority w:val="99"/>
    <w:unhideWhenUsed/>
    <w:rsid w:val="00626CDC"/>
    <w:pPr>
      <w:tabs>
        <w:tab w:val="center" w:pos="4680"/>
        <w:tab w:val="right" w:pos="9360"/>
      </w:tabs>
    </w:pPr>
  </w:style>
  <w:style w:type="character" w:customStyle="1" w:styleId="HeaderChar">
    <w:name w:val="Header Char"/>
    <w:basedOn w:val="DefaultParagraphFont"/>
    <w:link w:val="Header"/>
    <w:uiPriority w:val="99"/>
    <w:rsid w:val="00626C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6CDC"/>
    <w:pPr>
      <w:tabs>
        <w:tab w:val="center" w:pos="4680"/>
        <w:tab w:val="right" w:pos="9360"/>
      </w:tabs>
    </w:pPr>
  </w:style>
  <w:style w:type="character" w:customStyle="1" w:styleId="FooterChar">
    <w:name w:val="Footer Char"/>
    <w:basedOn w:val="DefaultParagraphFont"/>
    <w:link w:val="Footer"/>
    <w:uiPriority w:val="99"/>
    <w:rsid w:val="00626CDC"/>
    <w:rPr>
      <w:rFonts w:ascii="Times New Roman" w:eastAsia="Times New Roman" w:hAnsi="Times New Roman" w:cs="Times New Roman"/>
      <w:sz w:val="24"/>
      <w:szCs w:val="24"/>
    </w:rPr>
  </w:style>
  <w:style w:type="character" w:styleId="Hyperlink">
    <w:name w:val="Hyperlink"/>
    <w:basedOn w:val="DefaultParagraphFont"/>
    <w:rsid w:val="00626CDC"/>
    <w:rPr>
      <w:color w:val="0000FF"/>
      <w:u w:val="single"/>
    </w:rPr>
  </w:style>
  <w:style w:type="paragraph" w:customStyle="1" w:styleId="Default">
    <w:name w:val="Default"/>
    <w:basedOn w:val="Normal"/>
    <w:rsid w:val="00AF3EF1"/>
    <w:pPr>
      <w:autoSpaceDE w:val="0"/>
      <w:autoSpaceDN w:val="0"/>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3869">
      <w:bodyDiv w:val="1"/>
      <w:marLeft w:val="0"/>
      <w:marRight w:val="0"/>
      <w:marTop w:val="0"/>
      <w:marBottom w:val="0"/>
      <w:divBdr>
        <w:top w:val="none" w:sz="0" w:space="0" w:color="auto"/>
        <w:left w:val="none" w:sz="0" w:space="0" w:color="auto"/>
        <w:bottom w:val="none" w:sz="0" w:space="0" w:color="auto"/>
        <w:right w:val="none" w:sz="0" w:space="0" w:color="auto"/>
      </w:divBdr>
    </w:div>
    <w:div w:id="308096641">
      <w:bodyDiv w:val="1"/>
      <w:marLeft w:val="0"/>
      <w:marRight w:val="0"/>
      <w:marTop w:val="0"/>
      <w:marBottom w:val="0"/>
      <w:divBdr>
        <w:top w:val="none" w:sz="0" w:space="0" w:color="auto"/>
        <w:left w:val="none" w:sz="0" w:space="0" w:color="auto"/>
        <w:bottom w:val="none" w:sz="0" w:space="0" w:color="auto"/>
        <w:right w:val="none" w:sz="0" w:space="0" w:color="auto"/>
      </w:divBdr>
    </w:div>
    <w:div w:id="344405033">
      <w:bodyDiv w:val="1"/>
      <w:marLeft w:val="0"/>
      <w:marRight w:val="0"/>
      <w:marTop w:val="0"/>
      <w:marBottom w:val="0"/>
      <w:divBdr>
        <w:top w:val="none" w:sz="0" w:space="0" w:color="auto"/>
        <w:left w:val="none" w:sz="0" w:space="0" w:color="auto"/>
        <w:bottom w:val="none" w:sz="0" w:space="0" w:color="auto"/>
        <w:right w:val="none" w:sz="0" w:space="0" w:color="auto"/>
      </w:divBdr>
    </w:div>
    <w:div w:id="617293407">
      <w:bodyDiv w:val="1"/>
      <w:marLeft w:val="0"/>
      <w:marRight w:val="0"/>
      <w:marTop w:val="0"/>
      <w:marBottom w:val="0"/>
      <w:divBdr>
        <w:top w:val="none" w:sz="0" w:space="0" w:color="auto"/>
        <w:left w:val="none" w:sz="0" w:space="0" w:color="auto"/>
        <w:bottom w:val="none" w:sz="0" w:space="0" w:color="auto"/>
        <w:right w:val="none" w:sz="0" w:space="0" w:color="auto"/>
      </w:divBdr>
    </w:div>
    <w:div w:id="669988498">
      <w:bodyDiv w:val="1"/>
      <w:marLeft w:val="0"/>
      <w:marRight w:val="0"/>
      <w:marTop w:val="0"/>
      <w:marBottom w:val="0"/>
      <w:divBdr>
        <w:top w:val="none" w:sz="0" w:space="0" w:color="auto"/>
        <w:left w:val="none" w:sz="0" w:space="0" w:color="auto"/>
        <w:bottom w:val="none" w:sz="0" w:space="0" w:color="auto"/>
        <w:right w:val="none" w:sz="0" w:space="0" w:color="auto"/>
      </w:divBdr>
    </w:div>
    <w:div w:id="846484544">
      <w:bodyDiv w:val="1"/>
      <w:marLeft w:val="0"/>
      <w:marRight w:val="0"/>
      <w:marTop w:val="0"/>
      <w:marBottom w:val="0"/>
      <w:divBdr>
        <w:top w:val="none" w:sz="0" w:space="0" w:color="auto"/>
        <w:left w:val="none" w:sz="0" w:space="0" w:color="auto"/>
        <w:bottom w:val="none" w:sz="0" w:space="0" w:color="auto"/>
        <w:right w:val="none" w:sz="0" w:space="0" w:color="auto"/>
      </w:divBdr>
    </w:div>
    <w:div w:id="1203205617">
      <w:bodyDiv w:val="1"/>
      <w:marLeft w:val="0"/>
      <w:marRight w:val="0"/>
      <w:marTop w:val="0"/>
      <w:marBottom w:val="0"/>
      <w:divBdr>
        <w:top w:val="none" w:sz="0" w:space="0" w:color="auto"/>
        <w:left w:val="none" w:sz="0" w:space="0" w:color="auto"/>
        <w:bottom w:val="none" w:sz="0" w:space="0" w:color="auto"/>
        <w:right w:val="none" w:sz="0" w:space="0" w:color="auto"/>
      </w:divBdr>
    </w:div>
    <w:div w:id="1235701317">
      <w:bodyDiv w:val="1"/>
      <w:marLeft w:val="0"/>
      <w:marRight w:val="0"/>
      <w:marTop w:val="0"/>
      <w:marBottom w:val="0"/>
      <w:divBdr>
        <w:top w:val="none" w:sz="0" w:space="0" w:color="auto"/>
        <w:left w:val="none" w:sz="0" w:space="0" w:color="auto"/>
        <w:bottom w:val="none" w:sz="0" w:space="0" w:color="auto"/>
        <w:right w:val="none" w:sz="0" w:space="0" w:color="auto"/>
      </w:divBdr>
    </w:div>
    <w:div w:id="1263806071">
      <w:bodyDiv w:val="1"/>
      <w:marLeft w:val="0"/>
      <w:marRight w:val="0"/>
      <w:marTop w:val="0"/>
      <w:marBottom w:val="0"/>
      <w:divBdr>
        <w:top w:val="none" w:sz="0" w:space="0" w:color="auto"/>
        <w:left w:val="none" w:sz="0" w:space="0" w:color="auto"/>
        <w:bottom w:val="none" w:sz="0" w:space="0" w:color="auto"/>
        <w:right w:val="none" w:sz="0" w:space="0" w:color="auto"/>
      </w:divBdr>
    </w:div>
    <w:div w:id="1729642882">
      <w:bodyDiv w:val="1"/>
      <w:marLeft w:val="0"/>
      <w:marRight w:val="0"/>
      <w:marTop w:val="0"/>
      <w:marBottom w:val="0"/>
      <w:divBdr>
        <w:top w:val="none" w:sz="0" w:space="0" w:color="auto"/>
        <w:left w:val="none" w:sz="0" w:space="0" w:color="auto"/>
        <w:bottom w:val="none" w:sz="0" w:space="0" w:color="auto"/>
        <w:right w:val="none" w:sz="0" w:space="0" w:color="auto"/>
      </w:divBdr>
    </w:div>
    <w:div w:id="1782143630">
      <w:bodyDiv w:val="1"/>
      <w:marLeft w:val="0"/>
      <w:marRight w:val="0"/>
      <w:marTop w:val="0"/>
      <w:marBottom w:val="0"/>
      <w:divBdr>
        <w:top w:val="none" w:sz="0" w:space="0" w:color="auto"/>
        <w:left w:val="none" w:sz="0" w:space="0" w:color="auto"/>
        <w:bottom w:val="none" w:sz="0" w:space="0" w:color="auto"/>
        <w:right w:val="none" w:sz="0" w:space="0" w:color="auto"/>
      </w:divBdr>
    </w:div>
    <w:div w:id="213976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wayman@scc.ca.gov" TargetMode="External"/><Relationship Id="rId4" Type="http://schemas.openxmlformats.org/officeDocument/2006/relationships/settings" Target="settings.xml"/><Relationship Id="rId9" Type="http://schemas.openxmlformats.org/officeDocument/2006/relationships/hyperlink" Target="http://scc.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carmenp</dc:creator>
  <cp:lastModifiedBy>Virginia Brisley</cp:lastModifiedBy>
  <cp:revision>2</cp:revision>
  <dcterms:created xsi:type="dcterms:W3CDTF">2012-05-15T17:28:00Z</dcterms:created>
  <dcterms:modified xsi:type="dcterms:W3CDTF">2012-05-15T17:28:00Z</dcterms:modified>
</cp:coreProperties>
</file>